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center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b/>
          <w:color w:val="auto"/>
          <w:sz w:val="28"/>
          <w:szCs w:val="28"/>
        </w:rPr>
        <w:t>项目内容及要求</w:t>
      </w:r>
    </w:p>
    <w:p>
      <w:pPr>
        <w:spacing w:before="156" w:beforeLines="50" w:after="156" w:afterLines="50" w:line="540" w:lineRule="exact"/>
        <w:ind w:firstLine="482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目内容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增设视频监控高清镜头及主机</w:t>
      </w:r>
    </w:p>
    <w:p>
      <w:pPr>
        <w:pStyle w:val="2"/>
        <w:spacing w:line="360" w:lineRule="auto"/>
        <w:ind w:left="0" w:leftChars="0" w:right="1470"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shd w:val="clear" w:color="auto" w:fill="FFFFFF"/>
          <w:lang w:eastAsia="zh-CN" w:bidi="ar"/>
        </w:rPr>
        <w:t>二、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shd w:val="clear" w:color="auto" w:fill="FFFFFF"/>
          <w:lang w:bidi="ar"/>
        </w:rPr>
        <w:t>项目要求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、技术总体要求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1、新增监控软硬件应符合公安部安防工程技术标准，基于TCP/IP网络的远程监控系统平台。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2、新增监控软硬件应均符合国内标准，保证业务、功能、界面、内容高度统一化和标准化。新增监控硬件设备需与之前高清监控设备兼容，集成于一个系统内，能在指定主机及分机中查看。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3、新增监控设备建设完成后能够稳定运行，所使用的镜头不会因老化而出现视频颜色变化，产生雪花及波浪纹。同时，要求系统能够通过软、硬件升级来实现系统的先进性。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4、新增监控软硬件的设计要采用分层的模块化结构。软、硬件平台应具有良好的可扩展能力，能够方便地进行系统升级和更新。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5、新增监控软硬件的系统能够连续长时间不间断工作，并能在不影响系统运转的情况下做到模块在线测试、更新、加载。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6、新增设备所有线路应打好标签，线路规整，易于检修及故障排除。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、技术功能要求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1、设备整体功能要求。</w:t>
      </w:r>
    </w:p>
    <w:p>
      <w:pPr>
        <w:widowControl/>
        <w:shd w:val="clear" w:color="auto" w:fill="FFFFFF"/>
        <w:spacing w:line="360" w:lineRule="auto"/>
        <w:ind w:firstLine="6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新增设备包含视频采集系统、视频传输系统、网络交换系统、视频存储系统和视频管理平台系统等设备组成。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2、视频管理平台系统。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新增设备主机（系统管理客户端）设置于监控室，对整个监控系统进行管理。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3、视频采集系统。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1）所有高清网络摄像机清晰度均达到1080P或以上，室内主要布局枪形摄像机。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2）所有监控摄像头均实现IP化管理，摄像机能够防水防潮，工作温度于-20℃——70℃。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4、视频传输系统及电源线路和监控点位布置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1）监控电源禁止乱搭乱设，多个监控点位近距离使用开关稳压电源，且输出直流线路不网络交换系统一布置。所有电源设置点应避开漏水地段，避免短路，同时，所有线头连接符合国家规范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。</w:t>
      </w:r>
    </w:p>
    <w:p>
      <w:pPr>
        <w:widowControl/>
        <w:shd w:val="clear" w:color="auto" w:fill="FFFFFF"/>
        <w:spacing w:line="360" w:lineRule="auto"/>
        <w:ind w:firstLine="24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2）所以室内外监控施工应符合建筑物相关防雷规范要求，室外监控需加装防雷器。所以设备与弱电箱等应可靠接地。</w:t>
      </w:r>
    </w:p>
    <w:p>
      <w:pPr>
        <w:widowControl/>
        <w:shd w:val="clear" w:color="auto" w:fill="FFFFFF"/>
        <w:spacing w:line="360" w:lineRule="auto"/>
        <w:ind w:firstLine="24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3）传输使用网线室内应走吊顶内固定桥架，布线设置符合国家规范，安全美观，便于找线及维修管理。室外网线或光纤光缆设置，应走原有线路管道，传输设备及电源设置于监控控制箱内。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   5、视频存储系统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存储系统使用RAID5阵列，使用4TB以上硬盘集合，并在留下一定的硬盘槽位余量，以便扩容或扩点。每一个监控点位存储的视频资料应不小于90日，符合机场公安局要求。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eastAsia="zh-CN" w:bidi="ar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、主要设备规格要求</w:t>
      </w:r>
    </w:p>
    <w:p>
      <w:pPr>
        <w:widowControl/>
        <w:shd w:val="clear" w:color="auto" w:fill="FFFFFF"/>
        <w:spacing w:line="360" w:lineRule="auto"/>
        <w:ind w:firstLine="36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bidi="ar"/>
        </w:rPr>
        <w:t>以下表格为主要监控设备参数要求，其他辅助设备、辅材等按照实际使用要求添加配置。</w:t>
      </w:r>
    </w:p>
    <w:tbl>
      <w:tblPr>
        <w:tblStyle w:val="4"/>
        <w:tblpPr w:leftFromText="180" w:rightFromText="180" w:vertAnchor="text" w:horzAnchor="page" w:tblpX="1898" w:tblpY="773"/>
        <w:tblOverlap w:val="never"/>
        <w:tblW w:w="818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4180"/>
        <w:gridCol w:w="1538"/>
        <w:gridCol w:w="9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设备</w:t>
            </w:r>
          </w:p>
          <w:p>
            <w:pPr>
              <w:widowControl/>
              <w:ind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firstLine="4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参数</w:t>
            </w:r>
          </w:p>
          <w:p>
            <w:pPr>
              <w:widowControl/>
              <w:ind w:firstLine="4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品牌质量要求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网络监控主机</w:t>
            </w:r>
          </w:p>
        </w:tc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支持4个千兆网卡，支持多网络IP设定等应用</w:t>
            </w:r>
          </w:p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 支持4K高清网络视频的预览、存储与回放</w:t>
            </w:r>
          </w:p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 支持2个HDMI、1个VGA，支持异源同时输出，HDMI支持4K显示输出</w:t>
            </w:r>
          </w:p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 支持扩展2块解码插卡，每块解码插卡最多可支持6个HDMI输出接口</w:t>
            </w:r>
          </w:p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 支持对重要录像的锁定、解锁，支持警前警后录像</w:t>
            </w:r>
          </w:p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 支持智能搜索、回放功能，有效提高录像检索与回放效率</w:t>
            </w:r>
          </w:p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 支持最大16路同步回放和多路同步倒放</w:t>
            </w:r>
          </w:p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 支持16个SATA接口，单盘最大8TB，支持一个eSATA接口</w:t>
            </w:r>
          </w:p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 支持2个miniSAS接口，单个miniSAS接口可扩展16个SATA接口</w:t>
            </w:r>
          </w:p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 支持RAID0/1/5/6/10/50/60阵列存储；支持N+1热备功能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海康威视、浙江宇视等一线品牌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网络高清摄头</w:t>
            </w:r>
          </w:p>
        </w:tc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200万超低照度宽动态筒型网络摄像机，含电源、支架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1/2.8inch逐行扫描200万像素CMOS图像传感器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焦距4mm/6mm可选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自动红外滤片切换彩转黑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*最低照度0.0005lux （彩色)0.0001lux (黑白)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*信噪比不低于61dB，支持120dB光学宽动态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*具有智能编码功能，在静止场景下，相同图像质量时，开启高级模式与普通模式相比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*支持自动增益控制功能、自动白平衡调整功能、逆光补偿功能、NAT穿越功能、动态域名解析（DDNS）功能、三码流、感兴趣区域（ROI）、透雾、数字降噪、强光抑制、IP地址搜索功能、故障报警功能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*具有网关ARP绑定功能，有效防范ARP攻击，提升安全性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*具有安全接入功能，当相机接管理平台后，只能在管理平台控制相机，不能通过其他方式登录或者控制相机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支持10M/100M自适应以太网电口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海康威视、浙江宇视等一线品牌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19个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 w:colFirst="1" w:colLast="1"/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核心交换机</w:t>
            </w:r>
          </w:p>
        </w:tc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24个10/100/1000Base-T，4个10GE SFP+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分交流供电和直流供电两种机型，支持RPS冗余电源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包转发率：96Mpps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交换容量：256Gbps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与前期设备配套使用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Cisco/华为等一线品牌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1台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楼层交换机</w:t>
            </w:r>
          </w:p>
        </w:tc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24个10/100/1000Base-TX以太网端口，交流供电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与前期设备配套使用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Cisco/华为等一线品牌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3台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监控硬盘</w:t>
            </w:r>
          </w:p>
        </w:tc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4TB监控硬盘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与前期设备配套使用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西数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32个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32寸液晶显示器</w:t>
            </w:r>
          </w:p>
        </w:tc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屏幕尺寸32英寸屏幕分辨率高清（1366x768）屏幕比例16:9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颜色：黑色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创维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"/>
              </w:rPr>
              <w:t>线材</w:t>
            </w:r>
          </w:p>
        </w:tc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包含网线、电源线、高清数据线、</w:t>
            </w:r>
            <w:r>
              <w:rPr>
                <w:rFonts w:hint="eastAsia"/>
                <w:lang w:val="en-US" w:eastAsia="zh-CN"/>
              </w:rPr>
              <w:t>PVC线管、插线板等相关材料</w:t>
            </w:r>
          </w:p>
          <w:p>
            <w:pPr>
              <w:pStyle w:val="2"/>
              <w:spacing w:after="0"/>
              <w:ind w:left="0" w:leftChars="0" w:right="0" w:rightChars="0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与前期设备配套使用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569" w:firstLineChars="271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1批</w:t>
            </w: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Calibri" w:hAnsi="Calibri" w:cs="Calibri"/>
          <w:sz w:val="22"/>
          <w:szCs w:val="22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eastAsia="zh-CN" w:bidi="ar"/>
        </w:rPr>
        <w:t>（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四</w:t>
      </w:r>
      <w:r>
        <w:rPr>
          <w:rFonts w:hint="eastAsia" w:ascii="宋体" w:hAnsi="宋体" w:cs="宋体"/>
          <w:kern w:val="0"/>
          <w:sz w:val="24"/>
          <w:shd w:val="clear" w:color="auto" w:fill="FFFFFF"/>
          <w:lang w:eastAsia="zh-CN" w:bidi="ar"/>
        </w:rPr>
        <w:t>）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、施工要求：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4"/>
          <w:shd w:val="clear" w:color="auto" w:fill="FFFFFF"/>
          <w:lang w:bidi="ar"/>
        </w:rPr>
        <w:t>1、  由于报价方施工时采购人正在生产中，报价方必须确保文明施工，遵守采购人规章制度。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4"/>
          <w:shd w:val="clear" w:color="auto" w:fill="FFFFFF"/>
          <w:lang w:bidi="ar"/>
        </w:rPr>
        <w:t>2、  无论室外还是室内，所有敷设的线必须按要求穿管。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Calibri" w:hAnsi="Calibri" w:cs="Calibri"/>
          <w:sz w:val="22"/>
          <w:szCs w:val="22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eastAsia="zh-CN" w:bidi="ar"/>
        </w:rPr>
        <w:t>（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五</w:t>
      </w:r>
      <w:r>
        <w:rPr>
          <w:rFonts w:hint="eastAsia" w:ascii="宋体" w:hAnsi="宋体" w:cs="宋体"/>
          <w:kern w:val="0"/>
          <w:sz w:val="24"/>
          <w:shd w:val="clear" w:color="auto" w:fill="FFFFFF"/>
          <w:lang w:eastAsia="zh-CN" w:bidi="ar"/>
        </w:rPr>
        <w:t>）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、售后服务要求：</w:t>
      </w:r>
      <w:r>
        <w:rPr>
          <w:rFonts w:ascii="Calibri" w:hAnsi="Calibri" w:cs="Calibri"/>
          <w:kern w:val="0"/>
          <w:sz w:val="24"/>
          <w:shd w:val="clear" w:color="auto" w:fill="FFFFFF"/>
          <w:lang w:bidi="ar"/>
        </w:rPr>
        <w:t>报价方应在报价书中明确设备维保范围及质保期，并承诺在质保期内设备出现故障，报价方免费维修或更换。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Calibri" w:hAnsi="Calibri" w:cs="Calibri"/>
          <w:sz w:val="22"/>
          <w:szCs w:val="22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eastAsia="zh-CN" w:bidi="ar"/>
        </w:rPr>
        <w:t>（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六</w:t>
      </w:r>
      <w:r>
        <w:rPr>
          <w:rFonts w:hint="eastAsia" w:ascii="宋体" w:hAnsi="宋体" w:cs="宋体"/>
          <w:kern w:val="0"/>
          <w:sz w:val="24"/>
          <w:shd w:val="clear" w:color="auto" w:fill="FFFFFF"/>
          <w:lang w:eastAsia="zh-CN" w:bidi="ar"/>
        </w:rPr>
        <w:t>）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、特别说明：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4"/>
          <w:shd w:val="clear" w:color="auto" w:fill="FFFFFF"/>
          <w:lang w:bidi="ar"/>
        </w:rPr>
        <w:t>1、  若采购人与机场公安局就监控系统设备及技术参数存在分歧，采购人应提前告知报价人，并</w:t>
      </w:r>
      <w:r>
        <w:rPr>
          <w:rFonts w:hint="eastAsia" w:ascii="Calibri" w:hAnsi="Calibri" w:cs="Calibri"/>
          <w:kern w:val="0"/>
          <w:sz w:val="24"/>
          <w:shd w:val="clear" w:color="auto" w:fill="FFFFFF"/>
          <w:lang w:eastAsia="zh-CN" w:bidi="ar"/>
        </w:rPr>
        <w:t>以</w:t>
      </w:r>
      <w:r>
        <w:rPr>
          <w:rFonts w:ascii="Calibri" w:hAnsi="Calibri" w:cs="Calibri"/>
          <w:kern w:val="0"/>
          <w:sz w:val="24"/>
          <w:shd w:val="clear" w:color="auto" w:fill="FFFFFF"/>
          <w:lang w:bidi="ar"/>
        </w:rPr>
        <w:t>机场公安局技术要求为准。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Calibri" w:hAnsi="Calibri" w:cs="Calibri"/>
          <w:sz w:val="22"/>
          <w:szCs w:val="22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eastAsia="zh-CN" w:bidi="ar"/>
        </w:rPr>
        <w:t>（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七</w:t>
      </w:r>
      <w:r>
        <w:rPr>
          <w:rFonts w:hint="eastAsia" w:ascii="宋体" w:hAnsi="宋体" w:cs="宋体"/>
          <w:kern w:val="0"/>
          <w:sz w:val="24"/>
          <w:shd w:val="clear" w:color="auto" w:fill="FFFFFF"/>
          <w:lang w:eastAsia="zh-CN" w:bidi="ar"/>
        </w:rPr>
        <w:t>）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、附件、包装要求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Calibri" w:hAnsi="Calibri" w:cs="Calibri"/>
          <w:sz w:val="22"/>
          <w:szCs w:val="22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所有设备及软件按照厂家规定的产品包装和随机标准附件为准。</w:t>
      </w:r>
    </w:p>
    <w:p>
      <w:pPr>
        <w:pStyle w:val="2"/>
        <w:spacing w:line="360" w:lineRule="auto"/>
        <w:ind w:left="0" w:leftChars="0" w:right="1470" w:firstLine="480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eastAsia="zh-CN" w:bidi="ar"/>
        </w:rPr>
        <w:t>（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八</w:t>
      </w:r>
      <w:r>
        <w:rPr>
          <w:rFonts w:hint="eastAsia" w:ascii="宋体" w:hAnsi="宋体" w:cs="宋体"/>
          <w:kern w:val="0"/>
          <w:sz w:val="24"/>
          <w:shd w:val="clear" w:color="auto" w:fill="FFFFFF"/>
          <w:lang w:eastAsia="zh-CN" w:bidi="ar"/>
        </w:rPr>
        <w:t>）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、增设监控点位分布及数量</w:t>
      </w:r>
    </w:p>
    <w:tbl>
      <w:tblPr>
        <w:tblStyle w:val="4"/>
        <w:tblpPr w:leftFromText="180" w:rightFromText="180" w:vertAnchor="text" w:horzAnchor="page" w:tblpX="2232" w:tblpY="216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2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增设监控镜头位置分布及数量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增设镜头位置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增设镜头数量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三楼信息机房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三楼锅炉房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二楼冷库机组机房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一楼打蛋间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一楼机供品回收间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一楼洗涤用品库房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负一楼清真库房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负一楼机供品库房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负一楼国航一级库房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负一楼高低压配电房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负一楼中央空调机组房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负一楼水泵房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回收区域（食品车）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电动车充电桩区域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42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吸烟区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19个</w:t>
            </w:r>
          </w:p>
        </w:tc>
      </w:tr>
    </w:tbl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645CA"/>
    <w:rsid w:val="0C1D5D4E"/>
    <w:rsid w:val="456645CA"/>
    <w:rsid w:val="77752B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 w:afterLines="0" w:afterAutospacing="0"/>
      <w:ind w:left="1440" w:leftChars="70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zhsp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2021-07-15T01:57:00Z</dcterms:created>
  <dc:creator>Administrator</dc:creator>
  <cp:lastModifiedBy>Administrator</cp:lastModifiedBy>
  <dcterms:modified xsi:type="dcterms:W3CDTF">2021-07-15T03:36:51Z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