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更正（澄清）公告</w:t>
      </w:r>
    </w:p>
    <w:p>
      <w:pPr>
        <w:rPr>
          <w:rFonts w:asciiTheme="minorEastAsia" w:hAnsiTheme="minorEastAsia"/>
          <w:color w:val="auto"/>
          <w:szCs w:val="21"/>
          <w:highlight w:val="none"/>
        </w:rPr>
      </w:pPr>
    </w:p>
    <w:p>
      <w:pPr>
        <w:spacing w:line="440" w:lineRule="exact"/>
        <w:rPr>
          <w:rFonts w:asciiTheme="minorEastAsia" w:hAnsiTheme="minorEastAsia"/>
          <w:b/>
          <w:color w:val="auto"/>
          <w:szCs w:val="21"/>
          <w:highlight w:val="none"/>
        </w:rPr>
      </w:pPr>
      <w:r>
        <w:rPr>
          <w:rFonts w:hint="eastAsia" w:asciiTheme="minorEastAsia" w:hAnsiTheme="minorEastAsia"/>
          <w:b/>
          <w:color w:val="auto"/>
          <w:szCs w:val="21"/>
          <w:highlight w:val="none"/>
        </w:rPr>
        <w:t>各投标人：</w:t>
      </w:r>
    </w:p>
    <w:p>
      <w:pPr>
        <w:spacing w:line="440" w:lineRule="exact"/>
        <w:ind w:firstLine="420" w:firstLineChars="200"/>
        <w:rPr>
          <w:rFonts w:ascii="宋体" w:hAnsi="宋体" w:cs="Arial"/>
          <w:color w:val="auto"/>
          <w:szCs w:val="21"/>
          <w:highlight w:val="none"/>
        </w:rPr>
      </w:pPr>
      <w:r>
        <w:rPr>
          <w:rFonts w:hint="eastAsia" w:ascii="宋体" w:hAnsi="宋体" w:cs="Arial"/>
          <w:color w:val="auto"/>
          <w:szCs w:val="21"/>
          <w:highlight w:val="none"/>
        </w:rPr>
        <w:t>上海政采项目管理有限公司受上海机场中航佳美航空食品有限公司的委托，以公开招投标方式对</w:t>
      </w:r>
      <w:r>
        <w:rPr>
          <w:rFonts w:hint="eastAsia" w:ascii="宋体" w:hAnsi="宋体" w:cs="Arial"/>
          <w:color w:val="auto"/>
          <w:szCs w:val="21"/>
          <w:highlight w:val="none"/>
          <w:u w:val="single"/>
        </w:rPr>
        <w:t>上海机场中航佳美航空食品有限公司综合保障面包类采购项目（</w:t>
      </w:r>
      <w:r>
        <w:rPr>
          <w:rFonts w:hint="eastAsia" w:ascii="宋体" w:hAnsi="宋体" w:cs="Arial"/>
          <w:color w:val="auto"/>
          <w:szCs w:val="21"/>
          <w:highlight w:val="none"/>
          <w:u w:val="single"/>
        </w:rPr>
        <w:t>项目编号：PUR-E-2021-5023</w:t>
      </w:r>
      <w:r>
        <w:rPr>
          <w:rFonts w:hint="eastAsia" w:ascii="宋体" w:hAnsi="宋体" w:cs="Arial"/>
          <w:color w:val="auto"/>
          <w:szCs w:val="21"/>
          <w:highlight w:val="none"/>
          <w:u w:val="single"/>
        </w:rPr>
        <w:t>）</w:t>
      </w:r>
      <w:r>
        <w:rPr>
          <w:rFonts w:hint="eastAsia" w:ascii="宋体" w:hAnsi="宋体" w:cs="Arial"/>
          <w:color w:val="auto"/>
          <w:szCs w:val="21"/>
          <w:highlight w:val="none"/>
        </w:rPr>
        <w:t>进行招标，现对本项目以下内容进行如下变更（澄清）：</w:t>
      </w:r>
    </w:p>
    <w:p>
      <w:pPr>
        <w:spacing w:line="440" w:lineRule="exact"/>
        <w:ind w:firstLine="422" w:firstLineChars="200"/>
        <w:rPr>
          <w:rFonts w:ascii="宋体" w:hAnsi="宋体" w:cs="Arial"/>
          <w:b/>
          <w:bCs/>
          <w:color w:val="auto"/>
          <w:szCs w:val="21"/>
          <w:highlight w:val="none"/>
        </w:rPr>
      </w:pPr>
      <w:r>
        <w:rPr>
          <w:rFonts w:hint="eastAsia" w:ascii="宋体" w:hAnsi="宋体" w:cs="Arial"/>
          <w:b/>
          <w:bCs/>
          <w:color w:val="auto"/>
          <w:szCs w:val="21"/>
          <w:highlight w:val="none"/>
        </w:rPr>
        <w:t>更正事项：</w:t>
      </w:r>
    </w:p>
    <w:p>
      <w:pPr>
        <w:numPr>
          <w:ilvl w:val="0"/>
          <w:numId w:val="1"/>
        </w:numPr>
        <w:spacing w:line="440" w:lineRule="exact"/>
        <w:ind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项目名称澄清；</w:t>
      </w:r>
    </w:p>
    <w:p>
      <w:pPr>
        <w:numPr>
          <w:ilvl w:val="0"/>
          <w:numId w:val="1"/>
        </w:numPr>
        <w:spacing w:line="440" w:lineRule="exact"/>
        <w:ind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项目报价方式变更；</w:t>
      </w:r>
    </w:p>
    <w:p>
      <w:pPr>
        <w:numPr>
          <w:ilvl w:val="0"/>
          <w:numId w:val="1"/>
        </w:numPr>
        <w:spacing w:line="440" w:lineRule="exact"/>
        <w:ind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评分标准；</w:t>
      </w:r>
    </w:p>
    <w:p>
      <w:pPr>
        <w:numPr>
          <w:ilvl w:val="0"/>
          <w:numId w:val="1"/>
        </w:numPr>
        <w:spacing w:line="440" w:lineRule="exact"/>
        <w:ind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投标截止时间以及开标会时间；</w:t>
      </w:r>
    </w:p>
    <w:p>
      <w:pPr>
        <w:spacing w:line="440" w:lineRule="exact"/>
        <w:ind w:firstLine="422" w:firstLineChars="200"/>
        <w:rPr>
          <w:rFonts w:asciiTheme="minorEastAsia" w:hAnsiTheme="minorEastAsia"/>
          <w:b/>
          <w:bCs/>
          <w:color w:val="auto"/>
          <w:szCs w:val="21"/>
          <w:highlight w:val="none"/>
        </w:rPr>
      </w:pPr>
      <w:r>
        <w:rPr>
          <w:rFonts w:hint="eastAsia" w:asciiTheme="minorEastAsia" w:hAnsiTheme="minorEastAsia"/>
          <w:b/>
          <w:bCs/>
          <w:color w:val="auto"/>
          <w:szCs w:val="21"/>
          <w:highlight w:val="none"/>
        </w:rPr>
        <w:t>更正内容：</w:t>
      </w:r>
    </w:p>
    <w:p>
      <w:pPr>
        <w:numPr>
          <w:ilvl w:val="0"/>
          <w:numId w:val="2"/>
        </w:numPr>
        <w:spacing w:line="440" w:lineRule="exact"/>
        <w:ind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本项目名称由原来的配餐原材料面包类采购项目变更为：</w:t>
      </w:r>
      <w:r>
        <w:rPr>
          <w:rFonts w:hint="eastAsia" w:ascii="宋体" w:hAnsi="宋体" w:cs="宋体"/>
          <w:color w:val="auto"/>
          <w:szCs w:val="21"/>
          <w:highlight w:val="none"/>
        </w:rPr>
        <w:t>综合保障面包类采购项目；</w:t>
      </w:r>
    </w:p>
    <w:p>
      <w:pPr>
        <w:numPr>
          <w:ilvl w:val="0"/>
          <w:numId w:val="2"/>
        </w:numPr>
        <w:spacing w:line="440" w:lineRule="exact"/>
        <w:ind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项目报价方式变更：由原来的</w:t>
      </w:r>
      <w:r>
        <w:rPr>
          <w:rFonts w:hint="eastAsia" w:ascii="宋体" w:hAnsi="宋体" w:cs="宋体"/>
          <w:color w:val="auto"/>
          <w:szCs w:val="21"/>
          <w:highlight w:val="none"/>
        </w:rPr>
        <w:t>根据所提供的清单报单价并以</w:t>
      </w:r>
      <w:r>
        <w:rPr>
          <w:rFonts w:hint="eastAsia" w:ascii="宋体" w:hAnsi="宋体"/>
          <w:bCs/>
          <w:color w:val="auto"/>
          <w:szCs w:val="21"/>
          <w:highlight w:val="none"/>
        </w:rPr>
        <w:t>投标单品单价之和</w:t>
      </w:r>
      <w:r>
        <w:rPr>
          <w:rFonts w:hint="eastAsia" w:ascii="宋体" w:hAnsi="宋体" w:cs="宋体"/>
          <w:color w:val="auto"/>
          <w:szCs w:val="21"/>
          <w:highlight w:val="none"/>
        </w:rPr>
        <w:t>为评分基础，变更为根据所提供的清单报总价（单价乘以第三部分采购需求中的近一年用量，各项合计的</w:t>
      </w:r>
      <w:r>
        <w:rPr>
          <w:rFonts w:hint="eastAsia" w:ascii="宋体" w:hAnsi="宋体" w:cs="宋体"/>
          <w:color w:val="auto"/>
          <w:szCs w:val="21"/>
          <w:highlight w:val="none"/>
          <w:lang w:val="en-US" w:eastAsia="zh-CN"/>
        </w:rPr>
        <w:t>投标</w:t>
      </w:r>
      <w:r>
        <w:rPr>
          <w:rFonts w:hint="eastAsia" w:ascii="宋体" w:hAnsi="宋体" w:cs="宋体"/>
          <w:color w:val="auto"/>
          <w:szCs w:val="21"/>
          <w:highlight w:val="none"/>
        </w:rPr>
        <w:t>总价为评分基础</w:t>
      </w:r>
      <w:r>
        <w:rPr>
          <w:rFonts w:hint="eastAsia" w:ascii="宋体" w:hAnsi="宋体" w:cs="宋体"/>
          <w:color w:val="auto"/>
          <w:szCs w:val="21"/>
          <w:highlight w:val="none"/>
          <w:lang w:eastAsia="zh-CN"/>
        </w:rPr>
        <w:t>）；</w:t>
      </w:r>
    </w:p>
    <w:p>
      <w:pPr>
        <w:numPr>
          <w:ilvl w:val="0"/>
          <w:numId w:val="2"/>
        </w:numPr>
        <w:spacing w:line="440" w:lineRule="exact"/>
        <w:ind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评分标准：详见附件1</w:t>
      </w:r>
      <w:r>
        <w:rPr>
          <w:rFonts w:hint="eastAsia" w:asciiTheme="minorEastAsia" w:hAnsiTheme="minorEastAsia"/>
          <w:color w:val="auto"/>
          <w:szCs w:val="21"/>
          <w:highlight w:val="none"/>
          <w:lang w:eastAsia="zh-CN"/>
        </w:rPr>
        <w:t>；</w:t>
      </w:r>
    </w:p>
    <w:p>
      <w:pPr>
        <w:numPr>
          <w:numId w:val="0"/>
        </w:numPr>
        <w:spacing w:line="440" w:lineRule="exact"/>
        <w:ind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lang w:val="en-US" w:eastAsia="zh-CN"/>
        </w:rPr>
        <w:t>4、</w:t>
      </w:r>
      <w:r>
        <w:rPr>
          <w:rFonts w:hint="eastAsia" w:asciiTheme="minorEastAsia" w:hAnsiTheme="minorEastAsia"/>
          <w:color w:val="auto"/>
          <w:szCs w:val="21"/>
          <w:highlight w:val="none"/>
        </w:rPr>
        <w:t>投标截止时间以及开标会时间为</w:t>
      </w:r>
      <w:r>
        <w:rPr>
          <w:rFonts w:hint="eastAsia" w:asciiTheme="minorEastAsia" w:hAnsiTheme="minorEastAsia"/>
          <w:color w:val="auto"/>
          <w:szCs w:val="21"/>
          <w:highlight w:val="none"/>
        </w:rPr>
        <w:t>2021年</w:t>
      </w:r>
      <w:r>
        <w:rPr>
          <w:rFonts w:hint="eastAsia" w:asciiTheme="minorEastAsia" w:hAnsiTheme="minorEastAsia"/>
          <w:color w:val="auto"/>
          <w:szCs w:val="21"/>
          <w:highlight w:val="none"/>
          <w:lang w:val="en-US" w:eastAsia="zh-CN"/>
        </w:rPr>
        <w:t>08</w:t>
      </w:r>
      <w:r>
        <w:rPr>
          <w:rFonts w:hint="eastAsia" w:asciiTheme="minorEastAsia" w:hAnsiTheme="minorEastAsia"/>
          <w:color w:val="auto"/>
          <w:szCs w:val="21"/>
          <w:highlight w:val="none"/>
        </w:rPr>
        <w:t>月</w:t>
      </w:r>
      <w:r>
        <w:rPr>
          <w:rFonts w:hint="eastAsia" w:asciiTheme="minorEastAsia" w:hAnsiTheme="minorEastAsia"/>
          <w:color w:val="auto"/>
          <w:szCs w:val="21"/>
          <w:highlight w:val="none"/>
          <w:lang w:val="en-US" w:eastAsia="zh-CN"/>
        </w:rPr>
        <w:t>09</w:t>
      </w:r>
      <w:r>
        <w:rPr>
          <w:rFonts w:hint="eastAsia" w:asciiTheme="minorEastAsia" w:hAnsiTheme="minorEastAsia"/>
          <w:color w:val="auto"/>
          <w:szCs w:val="21"/>
          <w:highlight w:val="none"/>
        </w:rPr>
        <w:t>日下午13时30分</w:t>
      </w:r>
      <w:r>
        <w:rPr>
          <w:rFonts w:hint="eastAsia" w:asciiTheme="minorEastAsia" w:hAnsiTheme="minorEastAsia"/>
          <w:color w:val="auto"/>
          <w:szCs w:val="21"/>
          <w:highlight w:val="none"/>
          <w:lang w:eastAsia="zh-CN"/>
        </w:rPr>
        <w:t>；</w:t>
      </w:r>
    </w:p>
    <w:p>
      <w:pPr>
        <w:spacing w:line="440" w:lineRule="exact"/>
        <w:ind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以上更正内容为采购文件的组成部分，并对各投标人具有约束力。</w:t>
      </w:r>
    </w:p>
    <w:p>
      <w:pPr>
        <w:spacing w:line="440" w:lineRule="exact"/>
        <w:ind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除上述内容修改外，采购文件的其他内容和要求不变。</w:t>
      </w:r>
    </w:p>
    <w:p>
      <w:pPr>
        <w:spacing w:line="440" w:lineRule="exact"/>
        <w:ind w:firstLine="420" w:firstLineChars="200"/>
        <w:rPr>
          <w:rFonts w:asciiTheme="minorEastAsia" w:hAnsiTheme="minorEastAsia"/>
          <w:color w:val="auto"/>
          <w:szCs w:val="21"/>
          <w:highlight w:val="none"/>
        </w:rPr>
      </w:pPr>
      <w:r>
        <w:rPr>
          <w:rFonts w:hint="eastAsia" w:asciiTheme="minorEastAsia" w:hAnsiTheme="minorEastAsia"/>
          <w:color w:val="auto"/>
          <w:szCs w:val="21"/>
          <w:highlight w:val="none"/>
        </w:rPr>
        <w:t>特此公告。</w:t>
      </w:r>
    </w:p>
    <w:p>
      <w:pPr>
        <w:spacing w:line="440" w:lineRule="exact"/>
        <w:rPr>
          <w:rFonts w:asciiTheme="minorEastAsia" w:hAnsiTheme="minorEastAsia"/>
          <w:color w:val="auto"/>
          <w:szCs w:val="21"/>
          <w:highlight w:val="none"/>
        </w:rPr>
      </w:pPr>
    </w:p>
    <w:p>
      <w:pPr>
        <w:adjustRightInd w:val="0"/>
        <w:snapToGrid w:val="0"/>
        <w:spacing w:line="440" w:lineRule="exact"/>
        <w:rPr>
          <w:rFonts w:cs="宋体" w:asciiTheme="minorEastAsia" w:hAnsiTheme="minorEastAsia"/>
          <w:color w:val="auto"/>
          <w:szCs w:val="21"/>
          <w:highlight w:val="none"/>
        </w:rPr>
      </w:pPr>
      <w:r>
        <w:rPr>
          <w:rFonts w:hint="eastAsia" w:cs="宋体" w:asciiTheme="minorEastAsia" w:hAnsiTheme="minorEastAsia"/>
          <w:color w:val="auto"/>
          <w:szCs w:val="21"/>
          <w:highlight w:val="none"/>
        </w:rPr>
        <w:t>招标人：</w:t>
      </w:r>
      <w:r>
        <w:rPr>
          <w:rFonts w:hint="eastAsia" w:ascii="宋体" w:hAnsi="宋体" w:cs="宋体"/>
          <w:color w:val="auto"/>
          <w:szCs w:val="21"/>
          <w:highlight w:val="none"/>
        </w:rPr>
        <w:t>上海机场中航佳美航空食品有限公司</w:t>
      </w:r>
      <w:r>
        <w:rPr>
          <w:rFonts w:hint="eastAsia" w:cs="宋体" w:asciiTheme="minorEastAsia" w:hAnsiTheme="minorEastAsia"/>
          <w:color w:val="auto"/>
          <w:szCs w:val="21"/>
          <w:highlight w:val="none"/>
        </w:rPr>
        <w:t xml:space="preserve">  </w:t>
      </w:r>
      <w:r>
        <w:rPr>
          <w:rStyle w:val="10"/>
          <w:rFonts w:hint="eastAsia" w:cs="Times New Roman" w:asciiTheme="minorEastAsia" w:hAnsiTheme="minorEastAsia"/>
          <w:color w:val="auto"/>
          <w:sz w:val="21"/>
          <w:szCs w:val="21"/>
          <w:highlight w:val="none"/>
        </w:rPr>
        <w:t>招标代理机构：</w:t>
      </w:r>
      <w:r>
        <w:rPr>
          <w:rFonts w:hint="eastAsia" w:cs="Times New Roman" w:asciiTheme="minorEastAsia" w:hAnsiTheme="minorEastAsia"/>
          <w:color w:val="auto"/>
          <w:szCs w:val="21"/>
          <w:highlight w:val="none"/>
        </w:rPr>
        <w:t>上海政采项目管理有限公司</w:t>
      </w:r>
    </w:p>
    <w:p>
      <w:pPr>
        <w:adjustRightInd w:val="0"/>
        <w:snapToGrid w:val="0"/>
        <w:spacing w:line="440" w:lineRule="exact"/>
        <w:rPr>
          <w:rFonts w:cs="宋体" w:asciiTheme="minorEastAsia" w:hAnsiTheme="minorEastAsia"/>
          <w:color w:val="auto"/>
          <w:szCs w:val="21"/>
          <w:highlight w:val="none"/>
        </w:rPr>
      </w:pPr>
      <w:r>
        <w:rPr>
          <w:rFonts w:hint="eastAsia" w:cs="宋体" w:asciiTheme="minorEastAsia" w:hAnsiTheme="minorEastAsia"/>
          <w:color w:val="auto"/>
          <w:szCs w:val="21"/>
          <w:highlight w:val="none"/>
        </w:rPr>
        <w:t>地  址：</w:t>
      </w:r>
      <w:r>
        <w:rPr>
          <w:color w:val="auto"/>
          <w:highlight w:val="none"/>
        </w:rPr>
        <w:fldChar w:fldCharType="begin"/>
      </w:r>
      <w:r>
        <w:rPr>
          <w:color w:val="auto"/>
          <w:highlight w:val="none"/>
        </w:rPr>
        <w:instrText xml:space="preserve"> HYPERLINK "http://www.so.com/link?m=aS%2FVzYO73TH0KCzydkBBc%2B%2BBLWJb9j5ELkK%2B6dir%2BEiNY3U6cl4jon7reLkpF1A2jW0leN7BH49dSQyVAbbUk9BYHtF6CxX48BJKw1%2BTHTfbBcQNMIxzXGlXN5e7o04t03%2BFVWbadkFwPEaiKnAoiqmKLANJg9x0KTKxM1IOcEsNLZ%2BZ1S%2FOSJTX3GU9EH7bk7r6M5Akm0yEJgNl27CeOhTNgxAjwLzXipoZFsb866%2FxFRInzahXDkwB%2FC2ZUT6QR%2FCSf%2BMhtxC12lvz3d63o2NkbrRd5rEiKZQu0pSlfBF2iwSZ1x2yG38u%2BruKdl%2FIKwEhSSBLgaad1q%2F3M3wbcApiS84LNqoJPVcDgoIDaeR1tQIY2ySADQZ3JNauSLBd8opVotdX9glsdhFVLREm7ZQcWc3GkO%2FzdxyVlGc86HX8RGKSO7cZG%2FHc8Og14EMZt" \t "_blank" </w:instrText>
      </w:r>
      <w:r>
        <w:rPr>
          <w:color w:val="auto"/>
          <w:highlight w:val="none"/>
        </w:rPr>
        <w:fldChar w:fldCharType="separate"/>
      </w:r>
      <w:r>
        <w:rPr>
          <w:rFonts w:cs="宋体" w:asciiTheme="minorEastAsia" w:hAnsiTheme="minorEastAsia"/>
          <w:color w:val="auto"/>
          <w:szCs w:val="21"/>
          <w:highlight w:val="none"/>
        </w:rPr>
        <w:t>上海市浦东新区领航路100号</w:t>
      </w:r>
      <w:r>
        <w:rPr>
          <w:rFonts w:cs="宋体" w:asciiTheme="minorEastAsia" w:hAnsiTheme="minorEastAsia"/>
          <w:color w:val="auto"/>
          <w:szCs w:val="21"/>
          <w:highlight w:val="none"/>
        </w:rPr>
        <w:fldChar w:fldCharType="end"/>
      </w:r>
      <w:r>
        <w:rPr>
          <w:rFonts w:hint="eastAsia" w:cs="宋体" w:asciiTheme="minorEastAsia" w:hAnsiTheme="minorEastAsia"/>
          <w:color w:val="auto"/>
          <w:szCs w:val="21"/>
          <w:highlight w:val="none"/>
        </w:rPr>
        <w:t xml:space="preserve">        </w:t>
      </w:r>
      <w:r>
        <w:rPr>
          <w:rStyle w:val="10"/>
          <w:rFonts w:hint="eastAsia" w:cs="Times New Roman" w:asciiTheme="minorEastAsia" w:hAnsiTheme="minorEastAsia"/>
          <w:color w:val="auto"/>
          <w:sz w:val="21"/>
          <w:szCs w:val="21"/>
          <w:highlight w:val="none"/>
        </w:rPr>
        <w:t>地址：</w:t>
      </w:r>
      <w:r>
        <w:rPr>
          <w:rFonts w:cs="宋体" w:asciiTheme="minorEastAsia" w:hAnsiTheme="minorEastAsia"/>
          <w:color w:val="auto"/>
          <w:kern w:val="0"/>
          <w:szCs w:val="21"/>
          <w:highlight w:val="none"/>
        </w:rPr>
        <w:t>上海市</w:t>
      </w:r>
      <w:r>
        <w:rPr>
          <w:rFonts w:hint="eastAsia" w:cs="宋体" w:asciiTheme="minorEastAsia" w:hAnsiTheme="minorEastAsia"/>
          <w:color w:val="auto"/>
          <w:kern w:val="0"/>
          <w:szCs w:val="21"/>
          <w:highlight w:val="none"/>
        </w:rPr>
        <w:t>静安区天目中路380号11楼</w:t>
      </w:r>
    </w:p>
    <w:p>
      <w:pPr>
        <w:adjustRightInd w:val="0"/>
        <w:snapToGrid w:val="0"/>
        <w:spacing w:line="440" w:lineRule="exact"/>
        <w:rPr>
          <w:rFonts w:cs="宋体" w:asciiTheme="minorEastAsia" w:hAnsiTheme="minorEastAsia"/>
          <w:color w:val="auto"/>
          <w:szCs w:val="21"/>
          <w:highlight w:val="none"/>
        </w:rPr>
      </w:pPr>
      <w:r>
        <w:rPr>
          <w:rFonts w:hint="eastAsia" w:cs="宋体" w:asciiTheme="minorEastAsia" w:hAnsiTheme="minorEastAsia"/>
          <w:color w:val="auto"/>
          <w:szCs w:val="21"/>
          <w:highlight w:val="none"/>
        </w:rPr>
        <w:t>联系人：</w:t>
      </w:r>
      <w:r>
        <w:rPr>
          <w:rFonts w:hint="eastAsia" w:cs="宋体" w:asciiTheme="minorEastAsia" w:hAnsiTheme="minorEastAsia"/>
          <w:color w:val="auto"/>
          <w:szCs w:val="21"/>
          <w:highlight w:val="none"/>
        </w:rPr>
        <w:t>俞舟</w:t>
      </w:r>
      <w:r>
        <w:rPr>
          <w:rFonts w:hint="eastAsia" w:cs="宋体" w:asciiTheme="minorEastAsia" w:hAnsiTheme="minorEastAsia"/>
          <w:color w:val="auto"/>
          <w:szCs w:val="21"/>
          <w:highlight w:val="none"/>
        </w:rPr>
        <w:t xml:space="preserve">                              </w:t>
      </w:r>
      <w:r>
        <w:rPr>
          <w:rStyle w:val="10"/>
          <w:rFonts w:hint="eastAsia" w:cs="Times New Roman" w:asciiTheme="minorEastAsia" w:hAnsiTheme="minorEastAsia"/>
          <w:color w:val="auto"/>
          <w:sz w:val="21"/>
          <w:szCs w:val="21"/>
          <w:highlight w:val="none"/>
        </w:rPr>
        <w:t>联系人：</w:t>
      </w:r>
      <w:r>
        <w:rPr>
          <w:rFonts w:ascii="宋体" w:hAnsi="宋体" w:cs="宋体"/>
          <w:color w:val="auto"/>
          <w:kern w:val="0"/>
          <w:szCs w:val="21"/>
          <w:highlight w:val="none"/>
        </w:rPr>
        <w:t>付荣</w:t>
      </w:r>
      <w:r>
        <w:rPr>
          <w:rFonts w:hint="eastAsia" w:ascii="宋体" w:hAnsi="宋体" w:cs="宋体"/>
          <w:color w:val="auto"/>
          <w:kern w:val="0"/>
          <w:szCs w:val="21"/>
          <w:highlight w:val="none"/>
        </w:rPr>
        <w:t>、</w:t>
      </w:r>
      <w:r>
        <w:rPr>
          <w:rFonts w:ascii="宋体" w:hAnsi="宋体" w:cs="宋体"/>
          <w:color w:val="auto"/>
          <w:kern w:val="0"/>
          <w:szCs w:val="21"/>
          <w:highlight w:val="none"/>
        </w:rPr>
        <w:t>单杰</w:t>
      </w:r>
    </w:p>
    <w:p>
      <w:pPr>
        <w:spacing w:line="440" w:lineRule="exact"/>
        <w:rPr>
          <w:rFonts w:cs="宋体" w:asciiTheme="minorEastAsia" w:hAnsiTheme="minorEastAsia"/>
          <w:color w:val="auto"/>
          <w:szCs w:val="21"/>
          <w:highlight w:val="none"/>
        </w:rPr>
      </w:pPr>
      <w:r>
        <w:rPr>
          <w:rFonts w:hint="eastAsia" w:cs="宋体" w:asciiTheme="minorEastAsia" w:hAnsiTheme="minorEastAsia"/>
          <w:color w:val="auto"/>
          <w:szCs w:val="21"/>
          <w:highlight w:val="none"/>
        </w:rPr>
        <w:t>电  话：</w:t>
      </w:r>
      <w:r>
        <w:rPr>
          <w:rFonts w:hint="eastAsia" w:ascii="宋体" w:hAnsi="宋体" w:cs="宋体"/>
          <w:color w:val="auto"/>
          <w:szCs w:val="21"/>
          <w:highlight w:val="none"/>
        </w:rPr>
        <w:t xml:space="preserve">021-68343363 </w:t>
      </w:r>
      <w:r>
        <w:rPr>
          <w:rFonts w:hint="eastAsia" w:cs="宋体" w:asciiTheme="minorEastAsia" w:hAnsiTheme="minorEastAsia"/>
          <w:color w:val="auto"/>
          <w:szCs w:val="21"/>
          <w:highlight w:val="none"/>
        </w:rPr>
        <w:t xml:space="preserve">                    </w:t>
      </w:r>
      <w:r>
        <w:rPr>
          <w:rFonts w:hint="eastAsia" w:cs="宋体" w:asciiTheme="minorEastAsia" w:hAnsiTheme="minorEastAsia"/>
          <w:color w:val="auto"/>
          <w:szCs w:val="21"/>
          <w:highlight w:val="none"/>
          <w:lang w:val="en-US" w:eastAsia="zh-CN"/>
        </w:rPr>
        <w:t xml:space="preserve"> </w:t>
      </w:r>
      <w:r>
        <w:rPr>
          <w:rFonts w:hint="eastAsia" w:cs="宋体" w:asciiTheme="minorEastAsia" w:hAnsiTheme="minorEastAsia"/>
          <w:color w:val="auto"/>
          <w:szCs w:val="21"/>
          <w:highlight w:val="none"/>
        </w:rPr>
        <w:t xml:space="preserve"> </w:t>
      </w:r>
      <w:r>
        <w:rPr>
          <w:rStyle w:val="10"/>
          <w:rFonts w:hint="eastAsia" w:cs="Times New Roman" w:asciiTheme="minorEastAsia" w:hAnsiTheme="minorEastAsia"/>
          <w:color w:val="auto"/>
          <w:sz w:val="21"/>
          <w:szCs w:val="21"/>
          <w:highlight w:val="none"/>
        </w:rPr>
        <w:t>电 话：</w:t>
      </w:r>
      <w:r>
        <w:rPr>
          <w:rFonts w:hint="eastAsia" w:ascii="宋体" w:hAnsi="宋体" w:cs="宋体"/>
          <w:color w:val="auto"/>
          <w:szCs w:val="21"/>
          <w:highlight w:val="none"/>
        </w:rPr>
        <w:t>021-62091273*8004、62091253*8003</w:t>
      </w:r>
    </w:p>
    <w:p>
      <w:pPr>
        <w:spacing w:line="440" w:lineRule="exact"/>
        <w:ind w:firstLine="4410" w:firstLineChars="2100"/>
        <w:rPr>
          <w:rFonts w:asciiTheme="minorEastAsia" w:hAnsiTheme="minorEastAsia"/>
          <w:color w:val="auto"/>
          <w:szCs w:val="21"/>
          <w:highlight w:val="none"/>
        </w:rPr>
      </w:pPr>
      <w:r>
        <w:rPr>
          <w:rFonts w:hint="eastAsia" w:asciiTheme="minorEastAsia" w:hAnsiTheme="minorEastAsia"/>
          <w:color w:val="auto"/>
          <w:szCs w:val="21"/>
          <w:highlight w:val="none"/>
        </w:rPr>
        <w:t>日  期：2021-07-22</w:t>
      </w:r>
    </w:p>
    <w:p>
      <w:pPr>
        <w:spacing w:line="440" w:lineRule="exact"/>
        <w:ind w:firstLine="4410" w:firstLineChars="2100"/>
        <w:rPr>
          <w:rFonts w:asciiTheme="minorEastAsia" w:hAnsiTheme="minorEastAsia"/>
          <w:color w:val="auto"/>
          <w:szCs w:val="21"/>
          <w:highlight w:val="none"/>
        </w:rPr>
        <w:sectPr>
          <w:pgSz w:w="11906" w:h="16838"/>
          <w:pgMar w:top="1440" w:right="1800" w:bottom="1440" w:left="1800" w:header="851" w:footer="992" w:gutter="0"/>
          <w:cols w:space="425" w:num="1"/>
          <w:docGrid w:type="lines" w:linePitch="312" w:charSpace="0"/>
        </w:sectPr>
      </w:pPr>
    </w:p>
    <w:p>
      <w:pPr>
        <w:spacing w:line="440" w:lineRule="exact"/>
        <w:jc w:val="center"/>
        <w:rPr>
          <w:rFonts w:hint="default" w:asciiTheme="minorEastAsia" w:hAnsiTheme="minorEastAsia" w:eastAsiaTheme="minorEastAsia"/>
          <w:b/>
          <w:bCs/>
          <w:color w:val="auto"/>
          <w:szCs w:val="21"/>
          <w:highlight w:val="none"/>
          <w:lang w:val="en-US" w:eastAsia="zh-CN"/>
        </w:rPr>
      </w:pPr>
      <w:r>
        <w:rPr>
          <w:rFonts w:hint="eastAsia" w:asciiTheme="minorEastAsia" w:hAnsiTheme="minorEastAsia"/>
          <w:b/>
          <w:bCs/>
          <w:color w:val="auto"/>
          <w:szCs w:val="21"/>
          <w:highlight w:val="none"/>
        </w:rPr>
        <w:t>附件1 评分标准</w:t>
      </w:r>
      <w:r>
        <w:rPr>
          <w:rFonts w:hint="eastAsia" w:asciiTheme="minorEastAsia" w:hAnsiTheme="minorEastAsia"/>
          <w:b/>
          <w:bCs/>
          <w:color w:val="auto"/>
          <w:szCs w:val="21"/>
          <w:highlight w:val="none"/>
          <w:lang w:val="en-US" w:eastAsia="zh-CN"/>
        </w:rPr>
        <w:t>修改为</w:t>
      </w:r>
    </w:p>
    <w:p>
      <w:pPr>
        <w:spacing w:line="440" w:lineRule="exact"/>
        <w:ind w:left="96" w:firstLine="422" w:firstLineChars="200"/>
        <w:rPr>
          <w:rFonts w:ascii="宋体" w:hAnsi="宋体"/>
          <w:color w:val="auto"/>
          <w:szCs w:val="21"/>
          <w:highlight w:val="none"/>
        </w:rPr>
      </w:pPr>
      <w:r>
        <w:rPr>
          <w:rFonts w:hint="eastAsia" w:ascii="宋体" w:hAnsi="宋体"/>
          <w:b/>
          <w:bCs/>
          <w:color w:val="auto"/>
          <w:szCs w:val="21"/>
          <w:highlight w:val="none"/>
        </w:rPr>
        <w:t>2、评标总则</w:t>
      </w:r>
    </w:p>
    <w:p>
      <w:pPr>
        <w:spacing w:line="440" w:lineRule="exact"/>
        <w:ind w:left="96" w:firstLine="420" w:firstLineChars="200"/>
        <w:rPr>
          <w:rFonts w:ascii="宋体" w:hAnsi="宋体"/>
          <w:color w:val="auto"/>
          <w:szCs w:val="21"/>
          <w:highlight w:val="none"/>
        </w:rPr>
      </w:pPr>
      <w:r>
        <w:rPr>
          <w:rFonts w:hint="eastAsia" w:ascii="宋体" w:hAnsi="宋体"/>
          <w:color w:val="auto"/>
          <w:szCs w:val="21"/>
          <w:highlight w:val="none"/>
        </w:rPr>
        <w:t xml:space="preserve">2.1 </w:t>
      </w:r>
      <w:r>
        <w:rPr>
          <w:rFonts w:hint="eastAsia" w:ascii="宋体" w:hAnsi="宋体"/>
          <w:color w:val="auto"/>
          <w:szCs w:val="21"/>
          <w:highlight w:val="none"/>
        </w:rPr>
        <w:t>本项目的评标采用</w:t>
      </w:r>
      <w:r>
        <w:rPr>
          <w:rFonts w:hint="eastAsia" w:ascii="宋体" w:hAnsi="宋体" w:cs="宋体"/>
          <w:color w:val="auto"/>
          <w:szCs w:val="21"/>
          <w:highlight w:val="none"/>
        </w:rPr>
        <w:t>综合评分法</w:t>
      </w:r>
      <w:r>
        <w:rPr>
          <w:rFonts w:hint="eastAsia" w:ascii="宋体" w:hAnsi="宋体"/>
          <w:bCs/>
          <w:color w:val="auto"/>
          <w:szCs w:val="21"/>
          <w:highlight w:val="none"/>
        </w:rPr>
        <w:t>，</w:t>
      </w:r>
      <w:r>
        <w:rPr>
          <w:rFonts w:hint="eastAsia" w:ascii="宋体" w:hAnsi="宋体"/>
          <w:color w:val="auto"/>
          <w:szCs w:val="21"/>
          <w:highlight w:val="none"/>
        </w:rPr>
        <w:t>总分</w:t>
      </w:r>
      <w:r>
        <w:rPr>
          <w:rFonts w:ascii="宋体" w:hAnsi="宋体"/>
          <w:color w:val="auto"/>
          <w:szCs w:val="21"/>
          <w:highlight w:val="none"/>
        </w:rPr>
        <w:t>100</w:t>
      </w:r>
      <w:r>
        <w:rPr>
          <w:rFonts w:hint="eastAsia" w:ascii="宋体" w:hAnsi="宋体"/>
          <w:color w:val="auto"/>
          <w:szCs w:val="21"/>
          <w:highlight w:val="none"/>
        </w:rPr>
        <w:t>分，评审内容由商务、技术和价格三个部分组分组成；其中商务标权数为10％，技术标权数60％，价格权数30%</w:t>
      </w:r>
      <w:r>
        <w:rPr>
          <w:rFonts w:hint="eastAsia" w:ascii="宋体" w:hAnsi="宋体"/>
          <w:color w:val="auto"/>
          <w:szCs w:val="21"/>
          <w:highlight w:val="none"/>
        </w:rPr>
        <w:t>。</w:t>
      </w:r>
    </w:p>
    <w:p>
      <w:pPr>
        <w:spacing w:line="440" w:lineRule="exact"/>
        <w:ind w:left="96" w:firstLine="420" w:firstLineChars="200"/>
        <w:rPr>
          <w:rFonts w:ascii="宋体" w:hAnsi="宋体"/>
          <w:color w:val="auto"/>
          <w:szCs w:val="21"/>
          <w:highlight w:val="none"/>
        </w:rPr>
      </w:pPr>
      <w:r>
        <w:rPr>
          <w:rFonts w:hint="eastAsia" w:ascii="宋体" w:hAnsi="宋体"/>
          <w:color w:val="auto"/>
          <w:szCs w:val="21"/>
          <w:highlight w:val="none"/>
        </w:rPr>
        <w:t>2.2本次评标采用综合评分法在满足招标文件要求的前提下，对每个有效投标人的投标文件分别进行综合评分并汇总。综合得分（商务得分+技术得分+价格得分）最高者为第一名，依次类推确定得分排名顺序，推荐排名第一的投标单位为中标候选人。若出现二家投标单位并列最高分，则确定投标报价较低者为中标候选人。若出现排名第一的中标候选人放弃中标或不能按招标文件规定签订合同等原因取消中标资格，则按排名顺序依次确定排名第二的中标候选人为中标人或重新招标。</w:t>
      </w:r>
    </w:p>
    <w:p>
      <w:pPr>
        <w:spacing w:line="440" w:lineRule="exact"/>
        <w:ind w:left="96" w:firstLine="420" w:firstLineChars="200"/>
        <w:rPr>
          <w:rFonts w:hAnsi="宋体"/>
          <w:color w:val="auto"/>
          <w:szCs w:val="21"/>
          <w:highlight w:val="none"/>
        </w:rPr>
      </w:pPr>
      <w:r>
        <w:rPr>
          <w:rFonts w:hint="eastAsia" w:ascii="宋体" w:hAnsi="宋体"/>
          <w:color w:val="auto"/>
          <w:szCs w:val="21"/>
          <w:highlight w:val="none"/>
        </w:rPr>
        <w:t>具体评分细则如下：</w:t>
      </w:r>
      <w:r>
        <w:rPr>
          <w:rFonts w:hint="eastAsia" w:hAnsi="宋体"/>
          <w:color w:val="auto"/>
          <w:szCs w:val="21"/>
          <w:highlight w:val="none"/>
        </w:rPr>
        <w:t>评分细则</w:t>
      </w:r>
    </w:p>
    <w:tbl>
      <w:tblPr>
        <w:tblStyle w:val="5"/>
        <w:tblW w:w="89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1"/>
        <w:gridCol w:w="10"/>
        <w:gridCol w:w="1993"/>
        <w:gridCol w:w="845"/>
        <w:gridCol w:w="53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1" w:type="dxa"/>
            <w:vAlign w:val="center"/>
          </w:tcPr>
          <w:p>
            <w:pPr>
              <w:jc w:val="center"/>
              <w:rPr>
                <w:rFonts w:asciiTheme="minorEastAsia" w:hAnsiTheme="minorEastAsia"/>
                <w:b/>
                <w:bCs/>
                <w:color w:val="auto"/>
                <w:szCs w:val="21"/>
                <w:highlight w:val="none"/>
              </w:rPr>
            </w:pPr>
            <w:r>
              <w:rPr>
                <w:rFonts w:hint="eastAsia" w:asciiTheme="minorEastAsia" w:hAnsiTheme="minorEastAsia"/>
                <w:b/>
                <w:bCs/>
                <w:color w:val="auto"/>
                <w:szCs w:val="21"/>
                <w:highlight w:val="none"/>
              </w:rPr>
              <w:t>序号</w:t>
            </w:r>
          </w:p>
        </w:tc>
        <w:tc>
          <w:tcPr>
            <w:tcW w:w="2003" w:type="dxa"/>
            <w:gridSpan w:val="2"/>
            <w:vAlign w:val="center"/>
          </w:tcPr>
          <w:p>
            <w:pPr>
              <w:jc w:val="center"/>
              <w:rPr>
                <w:rFonts w:asciiTheme="minorEastAsia" w:hAnsiTheme="minorEastAsia"/>
                <w:b/>
                <w:bCs/>
                <w:color w:val="auto"/>
                <w:szCs w:val="21"/>
                <w:highlight w:val="none"/>
              </w:rPr>
            </w:pPr>
            <w:r>
              <w:rPr>
                <w:rFonts w:hint="eastAsia" w:asciiTheme="minorEastAsia" w:hAnsiTheme="minorEastAsia"/>
                <w:b/>
                <w:bCs/>
                <w:color w:val="auto"/>
                <w:szCs w:val="21"/>
                <w:highlight w:val="none"/>
              </w:rPr>
              <w:t>评审因素</w:t>
            </w:r>
          </w:p>
        </w:tc>
        <w:tc>
          <w:tcPr>
            <w:tcW w:w="845" w:type="dxa"/>
            <w:tcBorders>
              <w:right w:val="single" w:color="auto" w:sz="4" w:space="0"/>
            </w:tcBorders>
            <w:vAlign w:val="center"/>
          </w:tcPr>
          <w:p>
            <w:pPr>
              <w:spacing w:line="280" w:lineRule="exact"/>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分值</w:t>
            </w:r>
          </w:p>
        </w:tc>
        <w:tc>
          <w:tcPr>
            <w:tcW w:w="5384" w:type="dxa"/>
            <w:tcBorders>
              <w:left w:val="single" w:color="auto" w:sz="4" w:space="0"/>
            </w:tcBorders>
            <w:vAlign w:val="center"/>
          </w:tcPr>
          <w:p>
            <w:pPr>
              <w:jc w:val="center"/>
              <w:rPr>
                <w:rFonts w:asciiTheme="minorEastAsia" w:hAnsiTheme="minorEastAsia"/>
                <w:b/>
                <w:bCs/>
                <w:color w:val="auto"/>
                <w:szCs w:val="21"/>
                <w:highlight w:val="none"/>
              </w:rPr>
            </w:pPr>
            <w:r>
              <w:rPr>
                <w:rFonts w:hint="eastAsia" w:asciiTheme="minorEastAsia" w:hAnsiTheme="minorEastAsia"/>
                <w:b/>
                <w:bCs/>
                <w:color w:val="auto"/>
                <w:szCs w:val="21"/>
                <w:highlight w:val="none"/>
              </w:rPr>
              <w:t>评分标准说明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1" w:type="dxa"/>
            <w:gridSpan w:val="2"/>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1</w:t>
            </w:r>
          </w:p>
        </w:tc>
        <w:tc>
          <w:tcPr>
            <w:tcW w:w="8222" w:type="dxa"/>
            <w:gridSpan w:val="3"/>
            <w:vAlign w:val="center"/>
          </w:tcPr>
          <w:p>
            <w:pPr>
              <w:widowControl/>
              <w:ind w:firstLine="420" w:firstLineChars="200"/>
              <w:jc w:val="left"/>
              <w:rPr>
                <w:rFonts w:cs="宋体" w:asciiTheme="minorEastAsia" w:hAnsiTheme="minorEastAsia"/>
                <w:color w:val="auto"/>
                <w:kern w:val="0"/>
                <w:szCs w:val="21"/>
                <w:highlight w:val="none"/>
              </w:rPr>
            </w:pPr>
            <w:r>
              <w:rPr>
                <w:rFonts w:hint="eastAsia" w:asciiTheme="minorEastAsia" w:hAnsiTheme="minorEastAsia"/>
                <w:color w:val="auto"/>
                <w:szCs w:val="21"/>
                <w:highlight w:val="none"/>
              </w:rPr>
              <w:t>价格部分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21" w:type="dxa"/>
            <w:gridSpan w:val="2"/>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1-1</w:t>
            </w:r>
          </w:p>
        </w:tc>
        <w:tc>
          <w:tcPr>
            <w:tcW w:w="1993"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投标报价</w:t>
            </w:r>
          </w:p>
        </w:tc>
        <w:tc>
          <w:tcPr>
            <w:tcW w:w="845" w:type="dxa"/>
            <w:tcBorders>
              <w:right w:val="single" w:color="auto" w:sz="4"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30</w:t>
            </w:r>
          </w:p>
        </w:tc>
        <w:tc>
          <w:tcPr>
            <w:tcW w:w="5384" w:type="dxa"/>
            <w:tcBorders>
              <w:left w:val="single" w:color="auto" w:sz="4" w:space="0"/>
            </w:tcBorders>
            <w:vAlign w:val="center"/>
          </w:tcPr>
          <w:p>
            <w:pPr>
              <w:spacing w:line="280" w:lineRule="exact"/>
              <w:rPr>
                <w:rFonts w:ascii="宋体" w:hAnsi="宋体" w:cs="宋体"/>
                <w:color w:val="auto"/>
                <w:spacing w:val="-8"/>
                <w:szCs w:val="21"/>
                <w:highlight w:val="none"/>
              </w:rPr>
            </w:pPr>
            <w:r>
              <w:rPr>
                <w:rFonts w:hint="eastAsia" w:ascii="宋体" w:hAnsi="宋体" w:cs="宋体"/>
                <w:color w:val="auto"/>
                <w:spacing w:val="-8"/>
                <w:szCs w:val="21"/>
                <w:highlight w:val="none"/>
              </w:rPr>
              <w:t>1、根据财政部87号令文件规定，综合评分法中的价格分统一采用低价优先法计算，即满足招标文件要求且投标价格最低的投标报价为基准价，其价格分为满分</w:t>
            </w:r>
            <w:r>
              <w:rPr>
                <w:rFonts w:hint="eastAsia" w:ascii="宋体" w:hAnsi="宋体" w:cs="宋体"/>
                <w:color w:val="auto"/>
                <w:szCs w:val="21"/>
                <w:highlight w:val="none"/>
              </w:rPr>
              <w:t>30</w:t>
            </w:r>
            <w:r>
              <w:rPr>
                <w:rFonts w:hint="eastAsia" w:ascii="宋体" w:hAnsi="宋体" w:cs="宋体"/>
                <w:color w:val="auto"/>
                <w:spacing w:val="-8"/>
                <w:szCs w:val="21"/>
                <w:highlight w:val="none"/>
              </w:rPr>
              <w:t>分。</w:t>
            </w:r>
          </w:p>
          <w:p>
            <w:pPr>
              <w:spacing w:line="280" w:lineRule="exact"/>
              <w:rPr>
                <w:rFonts w:ascii="宋体" w:hAnsi="宋体" w:cs="宋体"/>
                <w:color w:val="auto"/>
                <w:spacing w:val="-8"/>
                <w:szCs w:val="21"/>
                <w:highlight w:val="none"/>
              </w:rPr>
            </w:pPr>
            <w:r>
              <w:rPr>
                <w:rFonts w:hint="eastAsia" w:ascii="宋体" w:hAnsi="宋体" w:cs="宋体"/>
                <w:color w:val="auto"/>
                <w:spacing w:val="-8"/>
                <w:szCs w:val="21"/>
                <w:highlight w:val="none"/>
              </w:rPr>
              <w:t>2、其他投标人的投标报价得分计算公式如下：</w:t>
            </w:r>
          </w:p>
          <w:p>
            <w:pPr>
              <w:widowControl/>
              <w:spacing w:line="300" w:lineRule="exact"/>
              <w:jc w:val="left"/>
              <w:rPr>
                <w:rFonts w:asciiTheme="minorEastAsia" w:hAnsiTheme="minorEastAsia"/>
                <w:color w:val="auto"/>
                <w:spacing w:val="-8"/>
                <w:szCs w:val="21"/>
                <w:highlight w:val="none"/>
              </w:rPr>
            </w:pPr>
            <w:r>
              <w:rPr>
                <w:rFonts w:hint="eastAsia" w:ascii="宋体" w:hAnsi="宋体" w:cs="宋体"/>
                <w:color w:val="auto"/>
                <w:spacing w:val="-8"/>
                <w:szCs w:val="21"/>
                <w:highlight w:val="none"/>
              </w:rPr>
              <w:t>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1"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2</w:t>
            </w:r>
          </w:p>
        </w:tc>
        <w:tc>
          <w:tcPr>
            <w:tcW w:w="2003" w:type="dxa"/>
            <w:gridSpan w:val="2"/>
            <w:vAlign w:val="center"/>
          </w:tcPr>
          <w:p>
            <w:pPr>
              <w:spacing w:line="280" w:lineRule="exact"/>
              <w:jc w:val="center"/>
              <w:rPr>
                <w:rFonts w:asciiTheme="minorEastAsia" w:hAnsiTheme="minorEastAsia"/>
                <w:color w:val="auto"/>
                <w:szCs w:val="21"/>
                <w:highlight w:val="none"/>
              </w:rPr>
            </w:pPr>
            <w:r>
              <w:rPr>
                <w:rFonts w:hint="eastAsia" w:asciiTheme="minorEastAsia" w:hAnsiTheme="minorEastAsia"/>
                <w:color w:val="auto"/>
                <w:szCs w:val="21"/>
                <w:highlight w:val="none"/>
              </w:rPr>
              <w:t>技术部分</w:t>
            </w:r>
          </w:p>
        </w:tc>
        <w:tc>
          <w:tcPr>
            <w:tcW w:w="845" w:type="dxa"/>
            <w:tcBorders>
              <w:right w:val="single" w:color="auto" w:sz="4" w:space="0"/>
            </w:tcBorders>
            <w:vAlign w:val="center"/>
          </w:tcPr>
          <w:p>
            <w:pPr>
              <w:spacing w:line="280" w:lineRule="exact"/>
              <w:jc w:val="center"/>
              <w:rPr>
                <w:rFonts w:asciiTheme="minorEastAsia" w:hAnsiTheme="minorEastAsia"/>
                <w:color w:val="auto"/>
                <w:szCs w:val="21"/>
                <w:highlight w:val="none"/>
              </w:rPr>
            </w:pPr>
          </w:p>
        </w:tc>
        <w:tc>
          <w:tcPr>
            <w:tcW w:w="5384" w:type="dxa"/>
            <w:tcBorders>
              <w:left w:val="single" w:color="auto" w:sz="4" w:space="0"/>
            </w:tcBorders>
            <w:vAlign w:val="center"/>
          </w:tcPr>
          <w:p>
            <w:pPr>
              <w:widowControl/>
              <w:jc w:val="left"/>
              <w:rPr>
                <w:rFonts w:asciiTheme="minorEastAsia" w:hAnsi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1"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2-1</w:t>
            </w:r>
          </w:p>
        </w:tc>
        <w:tc>
          <w:tcPr>
            <w:tcW w:w="2003" w:type="dxa"/>
            <w:gridSpan w:val="2"/>
            <w:vAlign w:val="center"/>
          </w:tcPr>
          <w:p>
            <w:pPr>
              <w:jc w:val="center"/>
              <w:rPr>
                <w:rFonts w:asciiTheme="minorEastAsia" w:hAnsiTheme="minorEastAsia"/>
                <w:bCs/>
                <w:color w:val="auto"/>
                <w:szCs w:val="21"/>
                <w:highlight w:val="none"/>
              </w:rPr>
            </w:pPr>
            <w:r>
              <w:rPr>
                <w:rFonts w:asciiTheme="minorEastAsia" w:hAnsiTheme="minorEastAsia"/>
                <w:color w:val="auto"/>
                <w:szCs w:val="21"/>
                <w:highlight w:val="none"/>
              </w:rPr>
              <w:t>服务方案</w:t>
            </w:r>
          </w:p>
        </w:tc>
        <w:tc>
          <w:tcPr>
            <w:tcW w:w="845" w:type="dxa"/>
            <w:tcBorders>
              <w:right w:val="single" w:color="auto" w:sz="4" w:space="0"/>
            </w:tcBorders>
            <w:vAlign w:val="center"/>
          </w:tcPr>
          <w:p>
            <w:pPr>
              <w:spacing w:line="280" w:lineRule="exact"/>
              <w:jc w:val="center"/>
              <w:rPr>
                <w:rFonts w:asciiTheme="minorEastAsia" w:hAnsiTheme="minorEastAsia"/>
                <w:color w:val="auto"/>
                <w:szCs w:val="21"/>
                <w:highlight w:val="none"/>
              </w:rPr>
            </w:pPr>
            <w:r>
              <w:rPr>
                <w:rFonts w:hint="eastAsia" w:asciiTheme="minorEastAsia" w:hAnsiTheme="minorEastAsia"/>
                <w:color w:val="auto"/>
                <w:szCs w:val="21"/>
                <w:highlight w:val="none"/>
              </w:rPr>
              <w:t>24</w:t>
            </w:r>
          </w:p>
        </w:tc>
        <w:tc>
          <w:tcPr>
            <w:tcW w:w="5384" w:type="dxa"/>
            <w:tcBorders>
              <w:left w:val="single" w:color="auto" w:sz="4" w:space="0"/>
            </w:tcBorders>
            <w:vAlign w:val="center"/>
          </w:tcPr>
          <w:p>
            <w:pPr>
              <w:widowControl/>
              <w:jc w:val="left"/>
              <w:rPr>
                <w:rFonts w:asciiTheme="minorEastAsia" w:hAnsiTheme="minorEastAsia"/>
                <w:color w:val="auto"/>
                <w:szCs w:val="21"/>
                <w:highlight w:val="none"/>
              </w:rPr>
            </w:pPr>
            <w:r>
              <w:rPr>
                <w:rFonts w:asciiTheme="minorEastAsia" w:hAnsiTheme="minorEastAsia"/>
                <w:color w:val="auto"/>
                <w:szCs w:val="21"/>
                <w:highlight w:val="none"/>
              </w:rPr>
              <w:t>1、供应食品来源及证明文件或相关厂商证明、种类、加工方式</w:t>
            </w:r>
            <w:r>
              <w:rPr>
                <w:rFonts w:hint="eastAsia" w:asciiTheme="minorEastAsia" w:hAnsiTheme="minorEastAsia"/>
                <w:color w:val="auto"/>
                <w:szCs w:val="21"/>
                <w:highlight w:val="none"/>
              </w:rPr>
              <w:t>：相对较优的得6分，一般的得4分，较差的得2分，未提供相应内容的不得分。</w:t>
            </w:r>
          </w:p>
          <w:p>
            <w:pPr>
              <w:widowControl/>
              <w:jc w:val="left"/>
              <w:rPr>
                <w:rFonts w:asciiTheme="minorEastAsia" w:hAnsiTheme="minorEastAsia"/>
                <w:color w:val="auto"/>
                <w:szCs w:val="21"/>
                <w:highlight w:val="none"/>
              </w:rPr>
            </w:pPr>
            <w:r>
              <w:rPr>
                <w:rFonts w:asciiTheme="minorEastAsia" w:hAnsiTheme="minorEastAsia"/>
                <w:color w:val="auto"/>
                <w:szCs w:val="21"/>
                <w:highlight w:val="none"/>
              </w:rPr>
              <w:t>2、产品生产流程及加工工艺说明或产品进货收购流程及质量把控方案</w:t>
            </w:r>
            <w:r>
              <w:rPr>
                <w:rFonts w:hint="eastAsia" w:asciiTheme="minorEastAsia" w:hAnsiTheme="minorEastAsia"/>
                <w:color w:val="auto"/>
                <w:szCs w:val="21"/>
                <w:highlight w:val="none"/>
              </w:rPr>
              <w:t>：相对较优的得6分，一般的得4分，较差的得2分，未提供相应内容的不得分。</w:t>
            </w:r>
          </w:p>
          <w:p>
            <w:pPr>
              <w:widowControl/>
              <w:jc w:val="left"/>
              <w:rPr>
                <w:rFonts w:asciiTheme="minorEastAsia" w:hAnsiTheme="minorEastAsia"/>
                <w:color w:val="auto"/>
                <w:szCs w:val="21"/>
                <w:highlight w:val="none"/>
              </w:rPr>
            </w:pPr>
            <w:r>
              <w:rPr>
                <w:rFonts w:asciiTheme="minorEastAsia" w:hAnsiTheme="minorEastAsia"/>
                <w:color w:val="auto"/>
                <w:szCs w:val="21"/>
                <w:highlight w:val="none"/>
              </w:rPr>
              <w:t>3、配送方案等</w:t>
            </w:r>
            <w:r>
              <w:rPr>
                <w:rFonts w:hint="eastAsia" w:asciiTheme="minorEastAsia" w:hAnsiTheme="minorEastAsia"/>
                <w:color w:val="auto"/>
                <w:szCs w:val="21"/>
                <w:highlight w:val="none"/>
              </w:rPr>
              <w:t>：相对较优的得6分，一般的得4分，较差的得2分，未提供相应内容的不得分。</w:t>
            </w:r>
          </w:p>
          <w:p>
            <w:pPr>
              <w:widowControl/>
              <w:jc w:val="left"/>
              <w:rPr>
                <w:rFonts w:asciiTheme="minorEastAsia" w:hAnsiTheme="minorEastAsia"/>
                <w:color w:val="auto"/>
                <w:szCs w:val="21"/>
                <w:highlight w:val="none"/>
              </w:rPr>
            </w:pPr>
            <w:r>
              <w:rPr>
                <w:rFonts w:asciiTheme="minorEastAsia" w:hAnsiTheme="minorEastAsia"/>
                <w:color w:val="auto"/>
                <w:szCs w:val="21"/>
                <w:highlight w:val="none"/>
              </w:rPr>
              <w:t>4、如何保证质量达到考核指标及措施方案</w:t>
            </w:r>
            <w:r>
              <w:rPr>
                <w:rFonts w:hint="eastAsia" w:asciiTheme="minorEastAsia" w:hAnsiTheme="minorEastAsia"/>
                <w:color w:val="auto"/>
                <w:szCs w:val="21"/>
                <w:highlight w:val="none"/>
              </w:rPr>
              <w:t>：相对较优的得6分，一般的得4分，较差的得2分，未提供相应内容的不得分。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1"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2-2</w:t>
            </w:r>
          </w:p>
        </w:tc>
        <w:tc>
          <w:tcPr>
            <w:tcW w:w="2003" w:type="dxa"/>
            <w:gridSpan w:val="2"/>
            <w:vAlign w:val="center"/>
          </w:tcPr>
          <w:p>
            <w:pPr>
              <w:jc w:val="center"/>
              <w:rPr>
                <w:rFonts w:asciiTheme="minorEastAsia" w:hAnsiTheme="minorEastAsia"/>
                <w:color w:val="auto"/>
                <w:szCs w:val="21"/>
                <w:highlight w:val="none"/>
              </w:rPr>
            </w:pPr>
            <w:r>
              <w:rPr>
                <w:rFonts w:asciiTheme="minorEastAsia" w:hAnsiTheme="minorEastAsia"/>
                <w:color w:val="auto"/>
                <w:szCs w:val="21"/>
                <w:highlight w:val="none"/>
              </w:rPr>
              <w:t>原材料供应管理制度及措施</w:t>
            </w:r>
          </w:p>
        </w:tc>
        <w:tc>
          <w:tcPr>
            <w:tcW w:w="845" w:type="dxa"/>
            <w:tcBorders>
              <w:right w:val="single" w:color="auto" w:sz="4" w:space="0"/>
            </w:tcBorders>
            <w:vAlign w:val="center"/>
          </w:tcPr>
          <w:p>
            <w:pPr>
              <w:spacing w:line="280" w:lineRule="exact"/>
              <w:jc w:val="center"/>
              <w:rPr>
                <w:rFonts w:asciiTheme="minorEastAsia" w:hAnsiTheme="minorEastAsia"/>
                <w:color w:val="auto"/>
                <w:szCs w:val="21"/>
                <w:highlight w:val="none"/>
              </w:rPr>
            </w:pPr>
            <w:r>
              <w:rPr>
                <w:rFonts w:hint="eastAsia" w:asciiTheme="minorEastAsia" w:hAnsiTheme="minorEastAsia"/>
                <w:color w:val="auto"/>
                <w:szCs w:val="21"/>
                <w:highlight w:val="none"/>
              </w:rPr>
              <w:t>6</w:t>
            </w:r>
          </w:p>
        </w:tc>
        <w:tc>
          <w:tcPr>
            <w:tcW w:w="5384" w:type="dxa"/>
            <w:tcBorders>
              <w:left w:val="single" w:color="auto" w:sz="4" w:space="0"/>
            </w:tcBorders>
            <w:vAlign w:val="center"/>
          </w:tcPr>
          <w:p>
            <w:pPr>
              <w:widowControl/>
              <w:jc w:val="left"/>
              <w:rPr>
                <w:rFonts w:asciiTheme="minorEastAsia" w:hAnsiTheme="minorEastAsia"/>
                <w:color w:val="auto"/>
                <w:szCs w:val="21"/>
                <w:highlight w:val="none"/>
              </w:rPr>
            </w:pPr>
            <w:r>
              <w:rPr>
                <w:rFonts w:asciiTheme="minorEastAsia" w:hAnsiTheme="minorEastAsia"/>
                <w:color w:val="auto"/>
                <w:szCs w:val="21"/>
                <w:highlight w:val="none"/>
              </w:rPr>
              <w:t>包含提供种类明细与价格、项目经理介绍与组织架构设计、货源组织、配货、配送、验货等专业对口人员的安排与职责划分、确保原材料新鲜、安全、及时的各类措施或组织管理办法、原材料供应商对于自身原材料生产、外部原材料的采购、销售，其合格 标准与检验标准、原材料供应商对于可能的违约责任或食品安全责任的责任承担说明等</w:t>
            </w:r>
            <w:r>
              <w:rPr>
                <w:rFonts w:hint="eastAsia" w:asciiTheme="minorEastAsia" w:hAnsiTheme="minorEastAsia"/>
                <w:color w:val="auto"/>
                <w:szCs w:val="21"/>
                <w:highlight w:val="none"/>
              </w:rPr>
              <w:t>：相对较优的得6分，一般的得4分，较差的得2分，未提供相应内容的不得分。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1"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2-3</w:t>
            </w:r>
          </w:p>
        </w:tc>
        <w:tc>
          <w:tcPr>
            <w:tcW w:w="2003" w:type="dxa"/>
            <w:gridSpan w:val="2"/>
            <w:vAlign w:val="center"/>
          </w:tcPr>
          <w:p>
            <w:pPr>
              <w:spacing w:line="280" w:lineRule="exact"/>
              <w:jc w:val="center"/>
              <w:rPr>
                <w:rFonts w:asciiTheme="minorEastAsia" w:hAnsiTheme="minorEastAsia"/>
                <w:color w:val="auto"/>
                <w:szCs w:val="21"/>
                <w:highlight w:val="none"/>
              </w:rPr>
            </w:pPr>
            <w:r>
              <w:rPr>
                <w:rFonts w:asciiTheme="minorEastAsia" w:hAnsiTheme="minorEastAsia"/>
                <w:color w:val="auto"/>
                <w:szCs w:val="21"/>
                <w:highlight w:val="none"/>
              </w:rPr>
              <w:t>项目人员配置和管理</w:t>
            </w:r>
          </w:p>
        </w:tc>
        <w:tc>
          <w:tcPr>
            <w:tcW w:w="845" w:type="dxa"/>
            <w:tcBorders>
              <w:right w:val="single" w:color="auto" w:sz="4"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5</w:t>
            </w:r>
          </w:p>
        </w:tc>
        <w:tc>
          <w:tcPr>
            <w:tcW w:w="5384" w:type="dxa"/>
            <w:tcBorders>
              <w:left w:val="single" w:color="auto" w:sz="4" w:space="0"/>
            </w:tcBorders>
          </w:tcPr>
          <w:p>
            <w:pPr>
              <w:widowControl/>
              <w:jc w:val="left"/>
              <w:rPr>
                <w:rFonts w:asciiTheme="minorEastAsia" w:hAnsiTheme="minorEastAsia"/>
                <w:color w:val="auto"/>
                <w:szCs w:val="21"/>
                <w:highlight w:val="none"/>
              </w:rPr>
            </w:pPr>
            <w:r>
              <w:rPr>
                <w:rFonts w:asciiTheme="minorEastAsia" w:hAnsiTheme="minorEastAsia"/>
                <w:color w:val="auto"/>
                <w:szCs w:val="21"/>
                <w:highlight w:val="none"/>
              </w:rPr>
              <w:t>人员配置合理（设置项目经理、专职配送员）、科学、人员素质高，上岗仪表、行为、态度和蔼，标准统一、规范。（需提供不少于两名以上配送人员的健康证、驾驶证）</w:t>
            </w:r>
            <w:r>
              <w:rPr>
                <w:rFonts w:hint="eastAsia" w:asciiTheme="minorEastAsia" w:hAnsiTheme="minorEastAsia"/>
                <w:color w:val="auto"/>
                <w:szCs w:val="21"/>
                <w:highlight w:val="none"/>
              </w:rPr>
              <w:t>：相对较优的得5分，一般的得3分，较差的得1分，未提供相应内容的不得分。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1"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2-4</w:t>
            </w:r>
          </w:p>
        </w:tc>
        <w:tc>
          <w:tcPr>
            <w:tcW w:w="2003" w:type="dxa"/>
            <w:gridSpan w:val="2"/>
            <w:vAlign w:val="center"/>
          </w:tcPr>
          <w:p>
            <w:pPr>
              <w:spacing w:line="280" w:lineRule="exact"/>
              <w:jc w:val="center"/>
              <w:rPr>
                <w:rFonts w:asciiTheme="minorEastAsia" w:hAnsiTheme="minorEastAsia"/>
                <w:color w:val="auto"/>
                <w:szCs w:val="21"/>
                <w:highlight w:val="none"/>
              </w:rPr>
            </w:pPr>
            <w:r>
              <w:rPr>
                <w:rFonts w:asciiTheme="minorEastAsia" w:hAnsiTheme="minorEastAsia"/>
                <w:color w:val="auto"/>
                <w:szCs w:val="21"/>
                <w:highlight w:val="none"/>
              </w:rPr>
              <w:t>突发事件处理应急预案和具体实施方案</w:t>
            </w:r>
          </w:p>
        </w:tc>
        <w:tc>
          <w:tcPr>
            <w:tcW w:w="845" w:type="dxa"/>
            <w:tcBorders>
              <w:right w:val="single" w:color="auto" w:sz="4"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5</w:t>
            </w:r>
          </w:p>
        </w:tc>
        <w:tc>
          <w:tcPr>
            <w:tcW w:w="5384" w:type="dxa"/>
            <w:tcBorders>
              <w:left w:val="single" w:color="auto" w:sz="4" w:space="0"/>
            </w:tcBorders>
            <w:vAlign w:val="center"/>
          </w:tcPr>
          <w:p>
            <w:pPr>
              <w:spacing w:line="280" w:lineRule="exact"/>
              <w:rPr>
                <w:rFonts w:asciiTheme="minorEastAsia" w:hAnsiTheme="minorEastAsia"/>
                <w:color w:val="auto"/>
                <w:szCs w:val="21"/>
                <w:highlight w:val="none"/>
              </w:rPr>
            </w:pPr>
            <w:r>
              <w:rPr>
                <w:rFonts w:asciiTheme="minorEastAsia" w:hAnsiTheme="minorEastAsia"/>
                <w:color w:val="auto"/>
                <w:szCs w:val="21"/>
                <w:highlight w:val="none"/>
              </w:rPr>
              <w:t>如何应对突发的天气、突发事件的处置等突发事件处理应急预案和具体实施方案实际操作性，工作流程完整、科学、可行</w:t>
            </w:r>
            <w:r>
              <w:rPr>
                <w:rFonts w:hint="eastAsia" w:asciiTheme="minorEastAsia" w:hAnsiTheme="minorEastAsia"/>
                <w:color w:val="auto"/>
                <w:szCs w:val="21"/>
                <w:highlight w:val="none"/>
              </w:rPr>
              <w:t>：相对较优的得5分，一般的得3分，较差的得1分，未提供相应内容的不得分。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1"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2-5</w:t>
            </w:r>
          </w:p>
        </w:tc>
        <w:tc>
          <w:tcPr>
            <w:tcW w:w="2003" w:type="dxa"/>
            <w:gridSpan w:val="2"/>
            <w:vAlign w:val="center"/>
          </w:tcPr>
          <w:p>
            <w:pPr>
              <w:spacing w:line="280" w:lineRule="exact"/>
              <w:jc w:val="center"/>
              <w:rPr>
                <w:rFonts w:cs="宋体" w:asciiTheme="minorEastAsia" w:hAnsiTheme="minorEastAsia"/>
                <w:color w:val="auto"/>
                <w:kern w:val="0"/>
                <w:szCs w:val="21"/>
                <w:highlight w:val="none"/>
              </w:rPr>
            </w:pPr>
            <w:r>
              <w:rPr>
                <w:rFonts w:asciiTheme="minorEastAsia" w:hAnsiTheme="minorEastAsia"/>
                <w:color w:val="auto"/>
                <w:szCs w:val="21"/>
                <w:highlight w:val="none"/>
              </w:rPr>
              <w:t>售后服务</w:t>
            </w:r>
          </w:p>
        </w:tc>
        <w:tc>
          <w:tcPr>
            <w:tcW w:w="845" w:type="dxa"/>
            <w:tcBorders>
              <w:right w:val="single" w:color="auto" w:sz="4"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10</w:t>
            </w:r>
          </w:p>
        </w:tc>
        <w:tc>
          <w:tcPr>
            <w:tcW w:w="5384" w:type="dxa"/>
            <w:tcBorders>
              <w:left w:val="single" w:color="auto" w:sz="4" w:space="0"/>
            </w:tcBorders>
            <w:vAlign w:val="center"/>
          </w:tcPr>
          <w:p>
            <w:pPr>
              <w:spacing w:line="280" w:lineRule="exact"/>
              <w:rPr>
                <w:rFonts w:asciiTheme="minorEastAsia" w:hAnsiTheme="minorEastAsia"/>
                <w:color w:val="auto"/>
                <w:szCs w:val="21"/>
                <w:highlight w:val="none"/>
              </w:rPr>
            </w:pPr>
            <w:r>
              <w:rPr>
                <w:rFonts w:asciiTheme="minorEastAsia" w:hAnsiTheme="minorEastAsia"/>
                <w:color w:val="auto"/>
                <w:szCs w:val="21"/>
                <w:highlight w:val="none"/>
              </w:rPr>
              <w:t>1、承诺的服务质量指标，有相关工作联系程序和制度，能提供驻地的售后服务保障</w:t>
            </w:r>
            <w:r>
              <w:rPr>
                <w:rFonts w:hint="eastAsia" w:asciiTheme="minorEastAsia" w:hAnsiTheme="minorEastAsia"/>
                <w:color w:val="auto"/>
                <w:szCs w:val="21"/>
                <w:highlight w:val="none"/>
              </w:rPr>
              <w:t>：相对较优的得8分，一般的得5分，较差的得2分，未提供相应内容的不得分。</w:t>
            </w:r>
          </w:p>
          <w:p>
            <w:pPr>
              <w:spacing w:line="280" w:lineRule="exact"/>
              <w:rPr>
                <w:rFonts w:cs="宋体" w:asciiTheme="minorEastAsia" w:hAnsiTheme="minorEastAsia"/>
                <w:color w:val="auto"/>
                <w:kern w:val="0"/>
                <w:szCs w:val="21"/>
                <w:highlight w:val="none"/>
              </w:rPr>
            </w:pPr>
            <w:r>
              <w:rPr>
                <w:rFonts w:hint="eastAsia" w:asciiTheme="minorEastAsia" w:hAnsiTheme="minorEastAsia"/>
                <w:color w:val="auto"/>
                <w:szCs w:val="21"/>
                <w:highlight w:val="none"/>
              </w:rPr>
              <w:t>2</w:t>
            </w:r>
            <w:r>
              <w:rPr>
                <w:rFonts w:asciiTheme="minorEastAsia" w:hAnsiTheme="minorEastAsia"/>
                <w:color w:val="auto"/>
                <w:szCs w:val="21"/>
                <w:highlight w:val="none"/>
              </w:rPr>
              <w:t>、其他优惠承诺及增值服务</w:t>
            </w:r>
            <w:r>
              <w:rPr>
                <w:rFonts w:hint="eastAsia" w:asciiTheme="minorEastAsia" w:hAnsiTheme="minorEastAsia"/>
                <w:color w:val="auto"/>
                <w:szCs w:val="21"/>
                <w:highlight w:val="none"/>
              </w:rPr>
              <w:t>：</w:t>
            </w:r>
            <w:bookmarkStart w:id="0" w:name="_GoBack"/>
            <w:bookmarkEnd w:id="0"/>
            <w:r>
              <w:rPr>
                <w:rFonts w:hint="eastAsia" w:asciiTheme="minorEastAsia" w:hAnsiTheme="minorEastAsia"/>
                <w:color w:val="auto"/>
                <w:szCs w:val="21"/>
                <w:highlight w:val="none"/>
              </w:rPr>
              <w:t>相对较优的得2分，相对较差的得1分，未提供相应内容的不得分。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711"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2-6</w:t>
            </w:r>
          </w:p>
        </w:tc>
        <w:tc>
          <w:tcPr>
            <w:tcW w:w="2003" w:type="dxa"/>
            <w:gridSpan w:val="2"/>
            <w:vAlign w:val="center"/>
          </w:tcPr>
          <w:p>
            <w:pPr>
              <w:spacing w:line="280" w:lineRule="exact"/>
              <w:jc w:val="center"/>
              <w:rPr>
                <w:rFonts w:asciiTheme="minorEastAsia" w:hAnsiTheme="minorEastAsia"/>
                <w:color w:val="auto"/>
                <w:szCs w:val="21"/>
                <w:highlight w:val="none"/>
              </w:rPr>
            </w:pPr>
            <w:r>
              <w:rPr>
                <w:rFonts w:hint="eastAsia" w:asciiTheme="minorEastAsia" w:hAnsiTheme="minorEastAsia"/>
                <w:color w:val="auto"/>
                <w:szCs w:val="21"/>
                <w:highlight w:val="none"/>
              </w:rPr>
              <w:t>投标样品</w:t>
            </w:r>
          </w:p>
        </w:tc>
        <w:tc>
          <w:tcPr>
            <w:tcW w:w="845" w:type="dxa"/>
            <w:tcBorders>
              <w:right w:val="single" w:color="auto" w:sz="4" w:space="0"/>
            </w:tcBorders>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10</w:t>
            </w:r>
          </w:p>
        </w:tc>
        <w:tc>
          <w:tcPr>
            <w:tcW w:w="5384" w:type="dxa"/>
            <w:tcBorders>
              <w:left w:val="single" w:color="auto" w:sz="4" w:space="0"/>
            </w:tcBorders>
            <w:vAlign w:val="center"/>
          </w:tcPr>
          <w:p>
            <w:pPr>
              <w:widowControl/>
              <w:jc w:val="left"/>
              <w:rPr>
                <w:rFonts w:asciiTheme="minorEastAsia" w:hAnsiTheme="minorEastAsia"/>
                <w:color w:val="auto"/>
                <w:szCs w:val="21"/>
                <w:highlight w:val="none"/>
              </w:rPr>
            </w:pPr>
            <w:r>
              <w:rPr>
                <w:rFonts w:hint="eastAsia" w:asciiTheme="minorEastAsia" w:hAnsiTheme="minorEastAsia"/>
                <w:color w:val="auto"/>
                <w:szCs w:val="21"/>
                <w:highlight w:val="none"/>
              </w:rPr>
              <w:t>根据投标人提供的样品进行评审</w:t>
            </w:r>
          </w:p>
          <w:p>
            <w:pPr>
              <w:widowControl/>
              <w:jc w:val="left"/>
              <w:rPr>
                <w:rFonts w:asciiTheme="minorEastAsia" w:hAnsiTheme="minorEastAsia"/>
                <w:color w:val="auto"/>
                <w:szCs w:val="21"/>
                <w:highlight w:val="none"/>
              </w:rPr>
            </w:pPr>
            <w:r>
              <w:rPr>
                <w:rFonts w:hint="eastAsia" w:asciiTheme="minorEastAsia" w:hAnsiTheme="minorEastAsia"/>
                <w:color w:val="auto"/>
                <w:szCs w:val="21"/>
                <w:highlight w:val="none"/>
              </w:rPr>
              <w:t>根据出样产品的色泽、外观、质量、新鲜程度等内容进行评分内容进行评分。</w:t>
            </w:r>
          </w:p>
          <w:p>
            <w:pPr>
              <w:widowControl/>
              <w:jc w:val="left"/>
              <w:rPr>
                <w:rFonts w:asciiTheme="minorEastAsia" w:hAnsiTheme="minorEastAsia"/>
                <w:color w:val="auto"/>
                <w:szCs w:val="21"/>
                <w:highlight w:val="none"/>
              </w:rPr>
            </w:pPr>
            <w:r>
              <w:rPr>
                <w:rFonts w:hint="eastAsia" w:asciiTheme="minorEastAsia" w:hAnsiTheme="minorEastAsia"/>
                <w:color w:val="auto"/>
                <w:szCs w:val="21"/>
                <w:highlight w:val="none"/>
              </w:rPr>
              <w:t>提供的样品相对较优的得10分；相对一般的得8分；相对较差的得5分。未提供相关样品的不得分。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1"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3</w:t>
            </w:r>
          </w:p>
        </w:tc>
        <w:tc>
          <w:tcPr>
            <w:tcW w:w="8232" w:type="dxa"/>
            <w:gridSpan w:val="4"/>
            <w:vAlign w:val="center"/>
          </w:tcPr>
          <w:p>
            <w:pPr>
              <w:widowControl/>
              <w:spacing w:line="300" w:lineRule="exact"/>
              <w:ind w:firstLine="420"/>
              <w:jc w:val="left"/>
              <w:rPr>
                <w:rFonts w:asciiTheme="minorEastAsia" w:hAnsiTheme="minorEastAsia"/>
                <w:color w:val="auto"/>
                <w:szCs w:val="21"/>
                <w:highlight w:val="none"/>
              </w:rPr>
            </w:pPr>
            <w:r>
              <w:rPr>
                <w:rFonts w:hint="eastAsia" w:asciiTheme="minorEastAsia" w:hAnsiTheme="minorEastAsia"/>
                <w:color w:val="auto"/>
                <w:szCs w:val="21"/>
                <w:highlight w:val="none"/>
              </w:rPr>
              <w:t>商务部分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711"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3-1</w:t>
            </w:r>
          </w:p>
        </w:tc>
        <w:tc>
          <w:tcPr>
            <w:tcW w:w="2003" w:type="dxa"/>
            <w:gridSpan w:val="2"/>
            <w:vAlign w:val="center"/>
          </w:tcPr>
          <w:p>
            <w:pPr>
              <w:spacing w:line="300" w:lineRule="exact"/>
              <w:jc w:val="center"/>
              <w:rPr>
                <w:rFonts w:asciiTheme="minorEastAsia" w:hAnsiTheme="minorEastAsia"/>
                <w:color w:val="auto"/>
                <w:szCs w:val="21"/>
                <w:highlight w:val="none"/>
              </w:rPr>
            </w:pPr>
            <w:r>
              <w:rPr>
                <w:rFonts w:hint="eastAsia" w:asciiTheme="minorEastAsia" w:hAnsiTheme="minorEastAsia"/>
                <w:color w:val="auto"/>
                <w:szCs w:val="21"/>
                <w:highlight w:val="none"/>
              </w:rPr>
              <w:t>企业综合实力</w:t>
            </w:r>
          </w:p>
        </w:tc>
        <w:tc>
          <w:tcPr>
            <w:tcW w:w="845" w:type="dxa"/>
            <w:tcBorders>
              <w:right w:val="single" w:color="auto" w:sz="4" w:space="0"/>
            </w:tcBorders>
            <w:vAlign w:val="center"/>
          </w:tcPr>
          <w:p>
            <w:pPr>
              <w:spacing w:line="300" w:lineRule="exact"/>
              <w:jc w:val="center"/>
              <w:rPr>
                <w:rFonts w:asciiTheme="minorEastAsia" w:hAnsiTheme="minorEastAsia"/>
                <w:color w:val="auto"/>
                <w:szCs w:val="21"/>
                <w:highlight w:val="none"/>
              </w:rPr>
            </w:pPr>
            <w:r>
              <w:rPr>
                <w:rFonts w:hint="eastAsia" w:asciiTheme="minorEastAsia" w:hAnsiTheme="minorEastAsia"/>
                <w:color w:val="auto"/>
                <w:szCs w:val="21"/>
                <w:highlight w:val="none"/>
              </w:rPr>
              <w:t>5</w:t>
            </w:r>
          </w:p>
        </w:tc>
        <w:tc>
          <w:tcPr>
            <w:tcW w:w="5384" w:type="dxa"/>
            <w:tcBorders>
              <w:left w:val="single" w:color="auto" w:sz="4" w:space="0"/>
            </w:tcBorders>
            <w:vAlign w:val="center"/>
          </w:tcPr>
          <w:p>
            <w:pPr>
              <w:widowControl/>
              <w:spacing w:line="300" w:lineRule="exact"/>
              <w:jc w:val="left"/>
              <w:rPr>
                <w:rFonts w:asciiTheme="minorEastAsia" w:hAnsiTheme="minorEastAsia"/>
                <w:color w:val="auto"/>
                <w:szCs w:val="21"/>
                <w:highlight w:val="none"/>
              </w:rPr>
            </w:pPr>
            <w:r>
              <w:rPr>
                <w:rFonts w:hint="eastAsia" w:asciiTheme="minorEastAsia" w:hAnsiTheme="minorEastAsia"/>
                <w:color w:val="auto"/>
                <w:szCs w:val="21"/>
                <w:highlight w:val="none"/>
              </w:rPr>
              <w:t>根据投标人注册资金、银行资信、财务状况（近三年）、综合服务能力、企业规模、协议履行情况等对投标人企业综合实力进行评分，综合实力较强的得5分，一般的得3分，相对差的得1分。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11" w:type="dxa"/>
            <w:vAlign w:val="center"/>
          </w:tcPr>
          <w:p>
            <w:pPr>
              <w:jc w:val="center"/>
              <w:rPr>
                <w:rFonts w:asciiTheme="minorEastAsia" w:hAnsiTheme="minorEastAsia"/>
                <w:color w:val="auto"/>
                <w:szCs w:val="21"/>
                <w:highlight w:val="none"/>
              </w:rPr>
            </w:pPr>
            <w:r>
              <w:rPr>
                <w:rFonts w:hint="eastAsia" w:asciiTheme="minorEastAsia" w:hAnsiTheme="minorEastAsia"/>
                <w:color w:val="auto"/>
                <w:szCs w:val="21"/>
                <w:highlight w:val="none"/>
              </w:rPr>
              <w:t>3-2</w:t>
            </w:r>
          </w:p>
        </w:tc>
        <w:tc>
          <w:tcPr>
            <w:tcW w:w="2003" w:type="dxa"/>
            <w:gridSpan w:val="2"/>
            <w:vAlign w:val="center"/>
          </w:tcPr>
          <w:p>
            <w:pPr>
              <w:spacing w:line="300" w:lineRule="exact"/>
              <w:jc w:val="center"/>
              <w:rPr>
                <w:rFonts w:asciiTheme="minorEastAsia" w:hAnsiTheme="minorEastAsia"/>
                <w:color w:val="auto"/>
                <w:szCs w:val="21"/>
                <w:highlight w:val="none"/>
              </w:rPr>
            </w:pPr>
            <w:r>
              <w:rPr>
                <w:rFonts w:hint="eastAsia" w:asciiTheme="minorEastAsia" w:hAnsiTheme="minorEastAsia"/>
                <w:color w:val="auto"/>
                <w:szCs w:val="21"/>
                <w:highlight w:val="none"/>
              </w:rPr>
              <w:t>业绩</w:t>
            </w:r>
          </w:p>
        </w:tc>
        <w:tc>
          <w:tcPr>
            <w:tcW w:w="845" w:type="dxa"/>
            <w:tcBorders>
              <w:right w:val="single" w:color="auto" w:sz="4" w:space="0"/>
            </w:tcBorders>
            <w:vAlign w:val="center"/>
          </w:tcPr>
          <w:p>
            <w:pPr>
              <w:spacing w:line="300" w:lineRule="exact"/>
              <w:jc w:val="center"/>
              <w:rPr>
                <w:rFonts w:asciiTheme="minorEastAsia" w:hAnsiTheme="minorEastAsia"/>
                <w:color w:val="auto"/>
                <w:szCs w:val="21"/>
                <w:highlight w:val="none"/>
              </w:rPr>
            </w:pPr>
            <w:r>
              <w:rPr>
                <w:rFonts w:hint="eastAsia" w:asciiTheme="minorEastAsia" w:hAnsiTheme="minorEastAsia"/>
                <w:color w:val="auto"/>
                <w:szCs w:val="21"/>
                <w:highlight w:val="none"/>
              </w:rPr>
              <w:t>5</w:t>
            </w:r>
          </w:p>
        </w:tc>
        <w:tc>
          <w:tcPr>
            <w:tcW w:w="5384" w:type="dxa"/>
            <w:tcBorders>
              <w:left w:val="single" w:color="auto" w:sz="4" w:space="0"/>
            </w:tcBorders>
            <w:vAlign w:val="center"/>
          </w:tcPr>
          <w:p>
            <w:pPr>
              <w:widowControl/>
              <w:spacing w:line="300" w:lineRule="exact"/>
              <w:jc w:val="left"/>
              <w:rPr>
                <w:rFonts w:asciiTheme="minorEastAsia" w:hAnsiTheme="minorEastAsia"/>
                <w:color w:val="auto"/>
                <w:szCs w:val="21"/>
                <w:highlight w:val="none"/>
              </w:rPr>
            </w:pPr>
            <w:r>
              <w:rPr>
                <w:rFonts w:hint="eastAsia" w:asciiTheme="minorEastAsia" w:hAnsiTheme="minorEastAsia"/>
                <w:color w:val="auto"/>
                <w:szCs w:val="21"/>
                <w:highlight w:val="none"/>
              </w:rPr>
              <w:t>根据各投标单位近三年（2018年1月1日起）类似项目业绩和经验情况进行综合评分（每提供1个得</w:t>
            </w:r>
            <w:r>
              <w:rPr>
                <w:rFonts w:asciiTheme="minorEastAsia" w:hAnsiTheme="minorEastAsia"/>
                <w:color w:val="auto"/>
                <w:szCs w:val="21"/>
                <w:highlight w:val="none"/>
              </w:rPr>
              <w:t>1</w:t>
            </w:r>
            <w:r>
              <w:rPr>
                <w:rFonts w:hint="eastAsia" w:asciiTheme="minorEastAsia" w:hAnsiTheme="minorEastAsia"/>
                <w:color w:val="auto"/>
                <w:szCs w:val="21"/>
                <w:highlight w:val="none"/>
              </w:rPr>
              <w:t>分；最高得5分）。</w:t>
            </w:r>
          </w:p>
          <w:p>
            <w:pPr>
              <w:spacing w:line="300" w:lineRule="exact"/>
              <w:rPr>
                <w:rFonts w:asciiTheme="minorEastAsia" w:hAnsiTheme="minorEastAsia"/>
                <w:color w:val="auto"/>
                <w:szCs w:val="21"/>
                <w:highlight w:val="none"/>
              </w:rPr>
            </w:pPr>
            <w:r>
              <w:rPr>
                <w:rFonts w:hint="eastAsia" w:asciiTheme="minorEastAsia" w:hAnsiTheme="minorEastAsia"/>
                <w:color w:val="auto"/>
                <w:szCs w:val="21"/>
                <w:highlight w:val="none"/>
              </w:rPr>
              <w:t>类似业绩指：投标人近三年承接的有效的类似项目业绩。是否属于有效的类似项目业绩由评标委员会根据投标人提供的业绩在业务内容、技术特点等方面与本项目的类似程度进行认定。有一个有效业绩得1分，每增加一个有效业绩加1分，最高得分为5分，没有有效的类似项目业绩的得0分。需提供相关业绩的合同扫描件，扫描件中需体现合同的签约主体、项目名称及内容等合同要素的相关内容，否则将不予认可。投标人最多提供5个类似项目业绩，如超过5个仅取前5个项目业绩进行评审。</w:t>
            </w:r>
          </w:p>
        </w:tc>
      </w:tr>
    </w:tbl>
    <w:p>
      <w:pPr>
        <w:snapToGrid w:val="0"/>
        <w:rPr>
          <w:rFonts w:ascii="宋体" w:hAnsi="宋体"/>
          <w:b/>
          <w:color w:val="auto"/>
          <w:szCs w:val="21"/>
          <w:highlight w:val="none"/>
        </w:rPr>
      </w:pPr>
      <w:r>
        <w:rPr>
          <w:rFonts w:hint="eastAsia" w:ascii="宋体" w:hAnsi="宋体"/>
          <w:b/>
          <w:color w:val="auto"/>
          <w:szCs w:val="21"/>
          <w:highlight w:val="none"/>
        </w:rPr>
        <w:t>以上各项评分内容，如投标单位未提供相对应内容，评标委员会不受最低评分标准限制，可予以零分计算。</w:t>
      </w:r>
    </w:p>
    <w:p>
      <w:pPr>
        <w:spacing w:line="440" w:lineRule="exact"/>
        <w:rPr>
          <w:rFonts w:asciiTheme="minorEastAsia" w:hAnsiTheme="minorEastAsia"/>
          <w:color w:val="auto"/>
          <w:szCs w:val="21"/>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1C26D"/>
    <w:multiLevelType w:val="singleLevel"/>
    <w:tmpl w:val="A1C1C26D"/>
    <w:lvl w:ilvl="0" w:tentative="0">
      <w:start w:val="1"/>
      <w:numFmt w:val="decimal"/>
      <w:suff w:val="nothing"/>
      <w:lvlText w:val="%1、"/>
      <w:lvlJc w:val="left"/>
    </w:lvl>
  </w:abstractNum>
  <w:abstractNum w:abstractNumId="1">
    <w:nsid w:val="61DAF0CD"/>
    <w:multiLevelType w:val="singleLevel"/>
    <w:tmpl w:val="61DAF0C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53E6"/>
    <w:rsid w:val="00060495"/>
    <w:rsid w:val="00222628"/>
    <w:rsid w:val="002C3D16"/>
    <w:rsid w:val="003028B6"/>
    <w:rsid w:val="00370575"/>
    <w:rsid w:val="0044733A"/>
    <w:rsid w:val="004673EB"/>
    <w:rsid w:val="00574132"/>
    <w:rsid w:val="00575693"/>
    <w:rsid w:val="00665383"/>
    <w:rsid w:val="006B1F52"/>
    <w:rsid w:val="007453E6"/>
    <w:rsid w:val="008A5E98"/>
    <w:rsid w:val="00AF4F53"/>
    <w:rsid w:val="00C75C33"/>
    <w:rsid w:val="00F05D4F"/>
    <w:rsid w:val="00FC3A63"/>
    <w:rsid w:val="025A6E28"/>
    <w:rsid w:val="0803722C"/>
    <w:rsid w:val="0EAE2F41"/>
    <w:rsid w:val="12B0381B"/>
    <w:rsid w:val="1CE466E5"/>
    <w:rsid w:val="20970825"/>
    <w:rsid w:val="27CC4B02"/>
    <w:rsid w:val="28D96A98"/>
    <w:rsid w:val="28E13A5E"/>
    <w:rsid w:val="29EE089B"/>
    <w:rsid w:val="2A711F2A"/>
    <w:rsid w:val="2C0467B2"/>
    <w:rsid w:val="2E9A5CB8"/>
    <w:rsid w:val="31353A72"/>
    <w:rsid w:val="326554D7"/>
    <w:rsid w:val="38B11A6D"/>
    <w:rsid w:val="3CB5004B"/>
    <w:rsid w:val="3FD32F00"/>
    <w:rsid w:val="43114A37"/>
    <w:rsid w:val="553C57CA"/>
    <w:rsid w:val="5B871974"/>
    <w:rsid w:val="5F2701C1"/>
    <w:rsid w:val="5FD93DB2"/>
    <w:rsid w:val="6F7E43AE"/>
    <w:rsid w:val="6FCF2881"/>
    <w:rsid w:val="75AA5E40"/>
    <w:rsid w:val="79F3767C"/>
    <w:rsid w:val="7B4F158A"/>
    <w:rsid w:val="7EAD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black1"/>
    <w:qFormat/>
    <w:uiPriority w:val="99"/>
    <w:rPr>
      <w:rFonts w:hint="default" w:ascii="ˎ̥" w:hAnsi="ˎ̥"/>
      <w:color w:val="333333"/>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459</Words>
  <Characters>2618</Characters>
  <Lines>21</Lines>
  <Paragraphs>6</Paragraphs>
  <TotalTime>4</TotalTime>
  <ScaleCrop>false</ScaleCrop>
  <LinksUpToDate>false</LinksUpToDate>
  <CharactersWithSpaces>3071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2020-05-10T06:04:00Z</dcterms:created>
  <dc:creator>user</dc:creator>
  <cp:lastModifiedBy>光荣</cp:lastModifiedBy>
  <dcterms:modified xsi:type="dcterms:W3CDTF">2021-07-23T00:50:36Z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